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6626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枣庄高新技术产业开发区管理委员会</w:t>
      </w:r>
    </w:p>
    <w:p w14:paraId="4235F98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7D3A15F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2B8A63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严格遵循《中华人民共和国政府信息公开条例》（国务院令第711号，以下简称《条例》）及《国务院办公厅政府信息与政务公开办公室关于印发&lt;中华人民共和国政府信息公开工作年度报告格式&gt;的通知》（国办公开办函〔2021〕30号）的规范要求，同时紧密结合省、市两级政府的工作安排与具体部署，由枣庄高新区党政综合办公室组织编制并完成。全文包括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年政府信息公开工作要点</w:t>
      </w:r>
      <w:r>
        <w:rPr>
          <w:rFonts w:hint="eastAsia" w:ascii="仿宋_GB2312" w:hAnsi="仿宋_GB2312" w:eastAsia="仿宋_GB2312" w:cs="仿宋_GB2312"/>
          <w:sz w:val="32"/>
          <w:szCs w:val="32"/>
          <w:lang w:eastAsia="zh-CN"/>
        </w:rPr>
        <w:t>落实</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主动公开</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政府信息、收到和处理政府信息公开申请、</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政府信息公开行政复议</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和</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行政诉讼</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、政府信息公开工作</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存在的主要问题及改进措施等。</w:t>
      </w:r>
      <w:r>
        <w:rPr>
          <w:rFonts w:hint="eastAsia" w:ascii="仿宋_GB2312" w:hAnsi="仿宋_GB2312" w:eastAsia="仿宋_GB2312" w:cs="仿宋_GB2312"/>
          <w:sz w:val="32"/>
          <w:szCs w:val="32"/>
        </w:rPr>
        <w:t>本报告所列数据的统计时限自202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年12月31日。本报告全文将在枣庄高新区官网（http://www.zzctp.gov.cn/）“政府信息公开年报”专栏公布。如对本报告有疑问，请与枣庄高新区</w:t>
      </w:r>
      <w:r>
        <w:rPr>
          <w:rFonts w:hint="eastAsia" w:ascii="仿宋_GB2312" w:hAnsi="仿宋_GB2312" w:eastAsia="仿宋_GB2312" w:cs="仿宋_GB2312"/>
          <w:sz w:val="32"/>
          <w:szCs w:val="32"/>
          <w:lang w:eastAsia="zh-CN"/>
        </w:rPr>
        <w:t>党政综合办公室</w:t>
      </w:r>
      <w:r>
        <w:rPr>
          <w:rFonts w:hint="eastAsia" w:ascii="仿宋_GB2312" w:hAnsi="仿宋_GB2312" w:eastAsia="仿宋_GB2312" w:cs="仿宋_GB2312"/>
          <w:sz w:val="32"/>
          <w:szCs w:val="32"/>
        </w:rPr>
        <w:t>信息科联系（联系电话:0632-8626577，电子邮箱:gxqzwgkb@163.com）。</w:t>
      </w:r>
    </w:p>
    <w:p w14:paraId="70CE7A6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—、总体情况</w:t>
      </w:r>
    </w:p>
    <w:p w14:paraId="43EC82D4">
      <w:pPr>
        <w:ind w:firstLine="640" w:firstLineChars="20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2025年，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枣庄高新区</w:t>
      </w:r>
      <w:r>
        <w:rPr>
          <w:rFonts w:hint="eastAsia" w:ascii="仿宋_GB2312" w:hAnsi="仿宋_GB2312" w:eastAsia="仿宋_GB2312" w:cs="仿宋_GB2312"/>
          <w:b w:val="0"/>
          <w:bCs w:val="0"/>
          <w:color w:val="000000" w:themeColor="text1"/>
          <w:sz w:val="32"/>
          <w:szCs w:val="32"/>
          <w14:textFill>
            <w14:solidFill>
              <w14:schemeClr w14:val="tx1"/>
            </w14:solidFill>
          </w14:textFill>
        </w:rPr>
        <w:t>紧紧围绕提升政务公开治理效能和服务质量这一核心目标，全面强化政务公开工作的主动性、精准性与便捷性。</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主要内容</w:t>
      </w:r>
      <w:r>
        <w:rPr>
          <w:rFonts w:hint="eastAsia" w:ascii="仿宋_GB2312" w:hAnsi="仿宋_GB2312" w:eastAsia="仿宋_GB2312" w:cs="仿宋_GB2312"/>
          <w:color w:val="000000" w:themeColor="text1"/>
          <w:sz w:val="32"/>
          <w:szCs w:val="32"/>
          <w14:textFill>
            <w14:solidFill>
              <w14:schemeClr w14:val="tx1"/>
            </w14:solidFill>
          </w14:textFill>
        </w:rPr>
        <w:t>包括主动公开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依申请公开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办理、</w:t>
      </w:r>
      <w:r>
        <w:rPr>
          <w:rFonts w:hint="eastAsia" w:ascii="仿宋_GB2312" w:hAnsi="仿宋_GB2312" w:eastAsia="仿宋_GB2312" w:cs="仿宋_GB2312"/>
          <w:color w:val="000000" w:themeColor="text1"/>
          <w:sz w:val="32"/>
          <w:szCs w:val="32"/>
          <w14:textFill>
            <w14:solidFill>
              <w14:schemeClr w14:val="tx1"/>
            </w14:solidFill>
          </w14:textFill>
        </w:rPr>
        <w:t>政府信息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管理、政府信息公开平台建设、监督保障</w:t>
      </w:r>
      <w:r>
        <w:rPr>
          <w:rFonts w:hint="eastAsia" w:ascii="仿宋_GB2312" w:hAnsi="仿宋_GB2312" w:eastAsia="仿宋_GB2312" w:cs="仿宋_GB2312"/>
          <w:color w:val="000000" w:themeColor="text1"/>
          <w:sz w:val="32"/>
          <w:szCs w:val="32"/>
          <w14:textFill>
            <w14:solidFill>
              <w14:schemeClr w14:val="tx1"/>
            </w14:solidFill>
          </w14:textFill>
        </w:rPr>
        <w:t>等。现将</w:t>
      </w:r>
      <w:r>
        <w:rPr>
          <w:rFonts w:hint="eastAsia" w:ascii="仿宋_GB2312" w:hAnsi="仿宋_GB2312" w:eastAsia="仿宋_GB2312" w:cs="仿宋_GB2312"/>
          <w:color w:val="000000" w:themeColor="text1"/>
          <w:sz w:val="32"/>
          <w:szCs w:val="32"/>
          <w:lang w:eastAsia="zh-CN"/>
          <w14:textFill>
            <w14:solidFill>
              <w14:schemeClr w14:val="tx1"/>
            </w14:solidFill>
          </w14:textFill>
        </w:rPr>
        <w:t>全</w:t>
      </w:r>
      <w:r>
        <w:rPr>
          <w:rFonts w:hint="eastAsia" w:ascii="仿宋_GB2312" w:hAnsi="仿宋_GB2312" w:eastAsia="仿宋_GB2312" w:cs="仿宋_GB2312"/>
          <w:color w:val="000000" w:themeColor="text1"/>
          <w:sz w:val="32"/>
          <w:szCs w:val="32"/>
          <w14:textFill>
            <w14:solidFill>
              <w14:schemeClr w14:val="tx1"/>
            </w14:solidFill>
          </w14:textFill>
        </w:rPr>
        <w:t>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年度政府信息公开工作情况报告如下：</w:t>
      </w:r>
    </w:p>
    <w:p w14:paraId="55F25E96">
      <w:pPr>
        <w:numPr>
          <w:ilvl w:val="0"/>
          <w:numId w:val="0"/>
        </w:num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）主动公开工作情况</w:t>
      </w:r>
    </w:p>
    <w:p w14:paraId="7BB3C286">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宋体" w:eastAsia="仿宋_GB2312" w:cs="仿宋_GB2312"/>
          <w:i w:val="0"/>
          <w:iCs w:val="0"/>
          <w:caps w:val="0"/>
          <w:color w:val="000000"/>
          <w:spacing w:val="0"/>
          <w:kern w:val="0"/>
          <w:sz w:val="32"/>
          <w:szCs w:val="32"/>
          <w:shd w:val="clear" w:fill="FFFFFF"/>
          <w:lang w:val="en-US" w:eastAsia="zh-CN" w:bidi="ar"/>
        </w:rPr>
        <w:t>2025年，全区</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主动</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公开工作以高新区门户网站为核心载体，全年累计公开各类信息4000余条，其中法定主动公开信息达1600余条</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确保了政府工作的透明度和公信力</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。强化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会议、政策文件、财政预决算等重点信息公开，</w:t>
      </w:r>
      <w:r>
        <w:rPr>
          <w:rFonts w:hint="eastAsia" w:ascii="仿宋_GB2312" w:hAnsi="仿宋_GB2312" w:eastAsia="仿宋_GB2312" w:cs="仿宋_GB2312"/>
          <w:color w:val="000000" w:themeColor="text1"/>
          <w:sz w:val="32"/>
          <w:szCs w:val="32"/>
          <w14:textFill>
            <w14:solidFill>
              <w14:schemeClr w14:val="tx1"/>
            </w14:solidFill>
          </w14:textFill>
        </w:rPr>
        <w:t>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新闻稿、</w:t>
      </w:r>
      <w:r>
        <w:rPr>
          <w:rFonts w:hint="eastAsia" w:ascii="仿宋_GB2312" w:hAnsi="仿宋_GB2312" w:eastAsia="仿宋_GB2312" w:cs="仿宋_GB2312"/>
          <w:color w:val="000000" w:themeColor="text1"/>
          <w:sz w:val="32"/>
          <w:szCs w:val="32"/>
          <w14:textFill>
            <w14:solidFill>
              <w14:schemeClr w14:val="tx1"/>
            </w14:solidFill>
          </w14:textFill>
        </w:rPr>
        <w:t>广播电视</w:t>
      </w:r>
      <w:r>
        <w:rPr>
          <w:rFonts w:hint="eastAsia" w:ascii="仿宋_GB2312" w:hAnsi="仿宋_GB2312" w:eastAsia="仿宋_GB2312" w:cs="仿宋_GB2312"/>
          <w:color w:val="000000" w:themeColor="text1"/>
          <w:sz w:val="32"/>
          <w:szCs w:val="32"/>
          <w:lang w:eastAsia="zh-CN"/>
          <w14:textFill>
            <w14:solidFill>
              <w14:schemeClr w14:val="tx1"/>
            </w14:solidFill>
          </w14:textFill>
        </w:rPr>
        <w:t>、网络</w:t>
      </w:r>
      <w:r>
        <w:rPr>
          <w:rFonts w:hint="eastAsia" w:ascii="仿宋_GB2312" w:hAnsi="仿宋_GB2312" w:eastAsia="仿宋_GB2312" w:cs="仿宋_GB2312"/>
          <w:color w:val="000000" w:themeColor="text1"/>
          <w:sz w:val="32"/>
          <w:szCs w:val="32"/>
          <w14:textFill>
            <w14:solidFill>
              <w14:schemeClr w14:val="tx1"/>
            </w14:solidFill>
          </w14:textFill>
        </w:rPr>
        <w:t>和新媒体等形式向社会公开了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次区级领导干部办公会议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kern w:val="0"/>
          <w:sz w:val="32"/>
          <w:szCs w:val="32"/>
          <w:shd w:val="clear" w:color="auto" w:fill="FFFFFF"/>
          <w:lang w:val="en-US" w:eastAsia="zh-CN"/>
        </w:rPr>
        <w:t>邀请代表列席会议3次；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w:t>
      </w:r>
      <w:r>
        <w:rPr>
          <w:rFonts w:hint="eastAsia" w:ascii="仿宋_GB2312" w:hAnsi="仿宋_GB2312" w:eastAsia="仿宋_GB2312" w:cs="仿宋_GB2312"/>
          <w:color w:val="000000" w:themeColor="text1"/>
          <w:sz w:val="32"/>
          <w:szCs w:val="32"/>
          <w14:textFill>
            <w14:solidFill>
              <w14:schemeClr w14:val="tx1"/>
            </w14:solidFill>
          </w14:textFill>
        </w:rPr>
        <w:t>负责人、</w:t>
      </w:r>
      <w:r>
        <w:rPr>
          <w:rFonts w:hint="eastAsia" w:ascii="仿宋_GB2312" w:hAnsi="仿宋_GB2312" w:eastAsia="仿宋_GB2312" w:cs="仿宋_GB2312"/>
          <w:color w:val="000000" w:themeColor="text1"/>
          <w:sz w:val="32"/>
          <w:szCs w:val="32"/>
          <w:lang w:eastAsia="zh-CN"/>
          <w14:textFill>
            <w14:solidFill>
              <w14:schemeClr w14:val="tx1"/>
            </w14:solidFill>
          </w14:textFill>
        </w:rPr>
        <w:t>音频、图片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、媒体、专家、文字等</w:t>
      </w:r>
      <w:r>
        <w:rPr>
          <w:rFonts w:hint="eastAsia" w:ascii="仿宋_GB2312" w:hAnsi="仿宋_GB2312" w:eastAsia="仿宋_GB2312" w:cs="仿宋_GB2312"/>
          <w:kern w:val="0"/>
          <w:sz w:val="32"/>
          <w:szCs w:val="32"/>
          <w:shd w:val="clear" w:color="auto" w:fill="FFFFFF"/>
          <w:lang w:val="en-US" w:eastAsia="zh-CN"/>
        </w:rPr>
        <w:t>角</w:t>
      </w:r>
      <w:r>
        <w:rPr>
          <w:rFonts w:hint="default" w:ascii="仿宋_GB2312" w:hAnsi="仿宋_GB2312" w:eastAsia="仿宋_GB2312" w:cs="仿宋_GB2312"/>
          <w:kern w:val="0"/>
          <w:sz w:val="32"/>
          <w:szCs w:val="32"/>
          <w:shd w:val="clear" w:color="auto" w:fill="FFFFFF"/>
          <w:lang w:val="en-US" w:eastAsia="zh-CN"/>
        </w:rPr>
        <w:t>度解读</w:t>
      </w:r>
      <w:r>
        <w:rPr>
          <w:rFonts w:hint="eastAsia" w:ascii="仿宋_GB2312" w:hAnsi="仿宋_GB2312" w:eastAsia="仿宋_GB2312" w:cs="仿宋_GB2312"/>
          <w:kern w:val="0"/>
          <w:sz w:val="32"/>
          <w:szCs w:val="32"/>
          <w:shd w:val="clear" w:color="auto" w:fill="FFFFFF"/>
          <w:lang w:val="en-US" w:eastAsia="zh-CN"/>
        </w:rPr>
        <w:t>政策信息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设立“财政预决算信息”专栏，集中发布政府预决算、部门预决算及财政收支情况，确保公众及时掌握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区财政动态，提升透明度。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全年共收到涉及民生服务、政策咨询等多个领域互动交流信件14件，均按时进行回复，回复率达到100%。全区精心组织开展“政府开放月”系列活动20余场，通过举办政府工作成果展、政策宣讲会、公众体验日等形式，让公众近距离了解政府工作流程，感受政府服务效能。</w:t>
      </w:r>
    </w:p>
    <w:p w14:paraId="4005512E">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4310" cy="3973830"/>
            <wp:effectExtent l="0" t="0" r="2540" b="7620"/>
            <wp:docPr id="5" name="图片 5" descr="管委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管委会"/>
                    <pic:cNvPicPr>
                      <a:picLocks noChangeAspect="1"/>
                    </pic:cNvPicPr>
                  </pic:nvPicPr>
                  <pic:blipFill>
                    <a:blip r:embed="rId4"/>
                    <a:stretch>
                      <a:fillRect/>
                    </a:stretch>
                  </pic:blipFill>
                  <pic:spPr>
                    <a:xfrm>
                      <a:off x="0" y="0"/>
                      <a:ext cx="5274310" cy="3973830"/>
                    </a:xfrm>
                    <a:prstGeom prst="rect">
                      <a:avLst/>
                    </a:prstGeom>
                  </pic:spPr>
                </pic:pic>
              </a:graphicData>
            </a:graphic>
          </wp:inline>
        </w:drawing>
      </w:r>
    </w:p>
    <w:p w14:paraId="7F545E6C">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（二）依申请公开办理情况</w:t>
      </w:r>
    </w:p>
    <w:p w14:paraId="3EBB80B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6" w:afterAutospacing="0" w:line="420" w:lineRule="atLeast"/>
        <w:ind w:left="0" w:right="0" w:firstLine="640" w:firstLineChars="200"/>
        <w:jc w:val="left"/>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枣庄高新区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认真执行《</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条例》，围绕提升依申请公开工作效能这一主线，多管齐下强化业务统筹，对申请接收、审核、答复等各环节的流程予以规范。</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2025年，新收政府信息公开申请53件，结转上年3件，办理55件，结转至下一年度办理1件，接收申请数量较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2024年呈上升趋势</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因政府信息公开被申请行政复议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件，因公民、法人和其他组织认为行政机关政府信息公开工作具体行政行为侵犯其合法权益，提起行政诉讼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本年度依申请公开政府信息严格遵循相关规定，未收取任何费用，切实保障公众获取政府信息的合法权益。</w:t>
      </w:r>
    </w:p>
    <w:p w14:paraId="7AB1C3A2">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（三）政府信息管理</w:t>
      </w:r>
    </w:p>
    <w:p w14:paraId="5970AAE5">
      <w:pPr>
        <w:numPr>
          <w:ilvl w:val="0"/>
          <w:numId w:val="0"/>
        </w:num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及时发布并实时更新法定主动公开内容，确保符合法定时限要求。切实做好规范性文件的发布、备案以及清理工作，确保各项流程合规、有序开展。严格落实政府信息发布“三审三校”制度及政府信息公开保密审查制度，严守信息发布底线。明确责任分工，各部门分管领导作为第一责任人，各行政机关的政府信息公开工作机构作为法定责任主体，负责平台建设与管理协调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对政府信息公开主动公开事项目录实行动态调整机制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提升政府信息公开工作的规范化与科学化水平。</w:t>
      </w:r>
    </w:p>
    <w:p w14:paraId="74E5078D">
      <w:pPr>
        <w:numPr>
          <w:ilvl w:val="0"/>
          <w:numId w:val="0"/>
        </w:num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）政府信息公开平台建设</w:t>
      </w:r>
    </w:p>
    <w:p w14:paraId="1F316FBF">
      <w:pPr>
        <w:numPr>
          <w:ilvl w:val="0"/>
          <w:numId w:val="0"/>
        </w:numPr>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提升政府服务效能，全区在政府门户网站开设‌19个专题栏目‌，涵盖财政预决算、营商环境优化、基层政务公开标准化规范化等重点领域，构建“全链条、多维度、易获取”的政务公开体系，切实增强群众获得感与满意度；同时</w:t>
      </w:r>
      <w:r>
        <w:rPr>
          <w:rFonts w:hint="default" w:ascii="仿宋_GB2312" w:hAnsi="仿宋_GB2312" w:eastAsia="仿宋_GB2312" w:cs="仿宋_GB2312"/>
          <w:kern w:val="0"/>
          <w:sz w:val="32"/>
          <w:szCs w:val="32"/>
          <w:shd w:val="clear" w:color="auto" w:fill="FFFFFF"/>
          <w:lang w:val="en-US" w:eastAsia="zh-CN"/>
        </w:rPr>
        <w:t>推进基层标准化规范化建设，全区已建成区级标准化规范化专区1处、特色专区1处、街道专区3处、村居（社区）专区10余处</w:t>
      </w:r>
      <w:r>
        <w:rPr>
          <w:rFonts w:hint="eastAsia" w:ascii="仿宋_GB2312" w:hAnsi="仿宋_GB2312" w:eastAsia="仿宋_GB2312" w:cs="仿宋_GB2312"/>
          <w:kern w:val="0"/>
          <w:sz w:val="32"/>
          <w:szCs w:val="32"/>
          <w:shd w:val="clear" w:color="auto" w:fill="FFFFFF"/>
          <w:lang w:val="en-US" w:eastAsia="zh-CN"/>
        </w:rPr>
        <w:t>；并</w:t>
      </w:r>
      <w:r>
        <w:rPr>
          <w:rFonts w:hint="default" w:ascii="仿宋_GB2312" w:hAnsi="仿宋_GB2312" w:eastAsia="仿宋_GB2312" w:cs="仿宋_GB2312"/>
          <w:kern w:val="0"/>
          <w:sz w:val="32"/>
          <w:szCs w:val="32"/>
          <w:shd w:val="clear" w:color="auto" w:fill="FFFFFF"/>
          <w:lang w:val="en-US" w:eastAsia="zh-CN"/>
        </w:rPr>
        <w:t>全面提升政务新媒体管理效能，从制度规范、内容维护、安全监管及协同联动等多维度强化管理措施，确保微信公众号、微博、抖音等平台高效运行</w:t>
      </w:r>
      <w:r>
        <w:rPr>
          <w:rFonts w:hint="eastAsia" w:ascii="仿宋_GB2312" w:hAnsi="仿宋_GB2312" w:eastAsia="仿宋_GB2312" w:cs="仿宋_GB2312"/>
          <w:kern w:val="0"/>
          <w:sz w:val="32"/>
          <w:szCs w:val="32"/>
          <w:shd w:val="clear" w:color="auto" w:fill="FFFFFF"/>
          <w:lang w:val="en-US" w:eastAsia="zh-CN"/>
        </w:rPr>
        <w:t>。</w:t>
      </w:r>
    </w:p>
    <w:p w14:paraId="2F11CB40">
      <w:pPr>
        <w:pStyle w:val="2"/>
        <w:ind w:firstLine="640" w:firstLineChars="200"/>
        <w:rPr>
          <w:rFonts w:hint="default" w:ascii="楷体_GB2312" w:hAnsi="楷体_GB2312" w:eastAsia="楷体_GB2312" w:cs="楷体_GB2312"/>
          <w:b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color w:val="000000" w:themeColor="text1"/>
          <w:kern w:val="2"/>
          <w:sz w:val="32"/>
          <w:szCs w:val="32"/>
          <w:lang w:val="en-US" w:eastAsia="zh-CN" w:bidi="ar-SA"/>
          <w14:textFill>
            <w14:solidFill>
              <w14:schemeClr w14:val="tx1"/>
            </w14:solidFill>
          </w14:textFill>
        </w:rPr>
        <w:t>（五）监督保障</w:t>
      </w:r>
    </w:p>
    <w:p w14:paraId="3FDA460C">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6" w:afterAutospacing="0" w:line="420" w:lineRule="atLeast"/>
        <w:ind w:left="0" w:right="0" w:firstLine="640" w:firstLineChars="200"/>
        <w:jc w:val="left"/>
        <w:rPr>
          <w:rFonts w:hint="eastAsia" w:ascii="仿宋_GB2312" w:hAnsi="仿宋_GB2312" w:eastAsia="仿宋_GB2312" w:cs="仿宋_GB2312"/>
          <w:b w:val="0"/>
          <w:bCs w:val="0"/>
          <w:color w:val="0000FF"/>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一</w:t>
      </w:r>
      <w:r>
        <w:rPr>
          <w:rFonts w:hint="eastAsia" w:ascii="仿宋_GB2312" w:hAnsi="仿宋_GB2312" w:eastAsia="仿宋_GB2312" w:cs="仿宋_GB2312"/>
          <w:b/>
          <w:bCs/>
          <w:kern w:val="0"/>
          <w:sz w:val="32"/>
          <w:szCs w:val="32"/>
          <w:shd w:val="clear" w:color="auto" w:fill="FFFFFF"/>
          <w:lang w:val="en-US" w:eastAsia="zh-CN" w:bidi="ar-SA"/>
        </w:rPr>
        <w:t>是</w:t>
      </w:r>
      <w:r>
        <w:rPr>
          <w:rFonts w:hint="eastAsia" w:ascii="仿宋_GB2312" w:hAnsi="仿宋_GB2312" w:eastAsia="仿宋_GB2312" w:cs="仿宋_GB2312"/>
          <w:b w:val="0"/>
          <w:kern w:val="0"/>
          <w:sz w:val="32"/>
          <w:szCs w:val="32"/>
          <w:shd w:val="clear" w:color="auto" w:fill="FFFFFF"/>
          <w:lang w:val="en-US" w:eastAsia="zh-CN" w:bidi="ar-SA"/>
        </w:rPr>
        <w:t>健全工作机制‌，建立常态化监督机制，通过定期检查与随机抽查相结合的方式，实现问题及时发现、动态整改，形成全流程闭环管理，为政务公开提供制度保障；二</w:t>
      </w:r>
      <w:r>
        <w:rPr>
          <w:rFonts w:hint="eastAsia" w:ascii="仿宋_GB2312" w:hAnsi="仿宋_GB2312" w:eastAsia="仿宋_GB2312" w:cs="仿宋_GB2312"/>
          <w:b/>
          <w:bCs/>
          <w:kern w:val="0"/>
          <w:sz w:val="32"/>
          <w:szCs w:val="32"/>
          <w:shd w:val="clear" w:color="auto" w:fill="FFFFFF"/>
          <w:lang w:val="en-US" w:eastAsia="zh-CN" w:bidi="ar-SA"/>
        </w:rPr>
        <w:t>是</w:t>
      </w:r>
      <w:r>
        <w:rPr>
          <w:rFonts w:hint="eastAsia" w:ascii="仿宋_GB2312" w:hAnsi="仿宋_GB2312" w:eastAsia="仿宋_GB2312" w:cs="仿宋_GB2312"/>
          <w:b w:val="0"/>
          <w:kern w:val="0"/>
          <w:sz w:val="32"/>
          <w:szCs w:val="32"/>
          <w:shd w:val="clear" w:color="auto" w:fill="FFFFFF"/>
          <w:lang w:val="en-US" w:eastAsia="zh-CN" w:bidi="ar-SA"/>
        </w:rPr>
        <w:t>强化团队建设，明确岗位职责，确保政务公开工作专人专责，推动跨部门协同联动，全面提升政务公开工作的整体效能；</w:t>
      </w:r>
      <w:r>
        <w:rPr>
          <w:rFonts w:hint="eastAsia" w:ascii="仿宋_GB2312" w:hAnsi="仿宋_GB2312" w:eastAsia="仿宋_GB2312" w:cs="仿宋_GB2312"/>
          <w:b/>
          <w:bCs/>
          <w:kern w:val="0"/>
          <w:sz w:val="32"/>
          <w:szCs w:val="32"/>
          <w:shd w:val="clear" w:color="auto" w:fill="FFFFFF"/>
          <w:lang w:val="en-US" w:eastAsia="zh-CN" w:bidi="ar-SA"/>
        </w:rPr>
        <w:t>三是</w:t>
      </w:r>
      <w:r>
        <w:rPr>
          <w:rFonts w:hint="eastAsia" w:ascii="仿宋_GB2312" w:hAnsi="仿宋_GB2312" w:eastAsia="仿宋_GB2312" w:cs="仿宋_GB2312"/>
          <w:b w:val="0"/>
          <w:bCs w:val="0"/>
          <w:color w:val="000000" w:themeColor="text1"/>
          <w:kern w:val="0"/>
          <w:sz w:val="32"/>
          <w:szCs w:val="32"/>
          <w:shd w:val="clear" w:color="auto" w:fill="FFFFFF"/>
          <w:lang w:val="en-US" w:eastAsia="zh-CN" w:bidi="ar-SA"/>
          <w14:textFill>
            <w14:solidFill>
              <w14:schemeClr w14:val="tx1"/>
            </w14:solidFill>
          </w14:textFill>
        </w:rPr>
        <w:t>深化能力培训，通过专题培训与理论学习相结合，系统提升工作人员业务素养与专业能力‌，打造一支业务精湛、经验丰富的政务公开队伍。</w:t>
      </w:r>
    </w:p>
    <w:p w14:paraId="07225E24">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二、主动公开政府信息情况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955"/>
        <w:gridCol w:w="1290"/>
        <w:gridCol w:w="1335"/>
        <w:gridCol w:w="2550"/>
      </w:tblGrid>
      <w:tr w14:paraId="17361E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FC35EC6">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第二十条第（一）项</w:t>
            </w:r>
          </w:p>
        </w:tc>
      </w:tr>
      <w:tr w14:paraId="3E5E95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02C8CF3">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信息内容</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CE99FA8">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本年制</w:t>
            </w:r>
          </w:p>
          <w:p w14:paraId="2963A8C9">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发件数</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D4BC543">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本年废</w:t>
            </w:r>
          </w:p>
          <w:p w14:paraId="7ABED91B">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止件数</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7AF60D5">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现行有效件数</w:t>
            </w:r>
          </w:p>
        </w:tc>
      </w:tr>
      <w:tr w14:paraId="226FB7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E530A88">
            <w:pPr>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规章</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C84C164">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19D77C">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C5371C">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r>
      <w:tr w14:paraId="428C4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3D24D74">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行政规范性文件</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8CBD4C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1A8C66">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3D2C6B6">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r>
      <w:tr w14:paraId="6755EB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78E3BE4">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第二十条第（五）项</w:t>
            </w:r>
          </w:p>
        </w:tc>
      </w:tr>
      <w:tr w14:paraId="3C478C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9BAA794">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8556621">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本年处理决定数量</w:t>
            </w:r>
          </w:p>
        </w:tc>
      </w:tr>
      <w:tr w14:paraId="4AADE5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8AF821D">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行政许可</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29C3F02">
            <w:pPr>
              <w:jc w:val="center"/>
              <w:rPr>
                <w:rFonts w:hint="default" w:ascii="黑体" w:hAnsi="黑体" w:eastAsia="黑体" w:cs="黑体"/>
                <w:color w:val="auto"/>
                <w:sz w:val="24"/>
                <w:szCs w:val="24"/>
                <w:lang w:val="en-US" w:eastAsia="zh-CN"/>
              </w:rPr>
            </w:pPr>
            <w:r>
              <w:rPr>
                <w:rFonts w:hint="eastAsia" w:ascii="仿宋_GB2312" w:hAnsi="仿宋_GB2312" w:eastAsia="仿宋_GB2312" w:cs="仿宋_GB2312"/>
                <w:color w:val="auto"/>
                <w:sz w:val="24"/>
                <w:szCs w:val="24"/>
                <w:lang w:val="en-US" w:eastAsia="zh-CN"/>
              </w:rPr>
              <w:t>25617</w:t>
            </w:r>
          </w:p>
        </w:tc>
      </w:tr>
      <w:tr w14:paraId="0DDE7C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2729563">
            <w:pPr>
              <w:jc w:val="center"/>
              <w:rPr>
                <w:rFonts w:hint="eastAsia" w:ascii="黑体" w:hAnsi="黑体" w:eastAsia="黑体" w:cs="黑体"/>
                <w:color w:val="auto"/>
                <w:sz w:val="24"/>
                <w:szCs w:val="24"/>
              </w:rPr>
            </w:pPr>
            <w:r>
              <w:rPr>
                <w:rFonts w:hint="eastAsia" w:ascii="黑体" w:hAnsi="黑体" w:eastAsia="黑体" w:cs="黑体"/>
                <w:color w:val="auto"/>
                <w:sz w:val="24"/>
                <w:szCs w:val="24"/>
              </w:rPr>
              <w:t>第二十条第（六）项</w:t>
            </w:r>
          </w:p>
        </w:tc>
      </w:tr>
      <w:tr w14:paraId="48FA54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D446953">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B99A7D6">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本年处理决定数量</w:t>
            </w:r>
          </w:p>
        </w:tc>
      </w:tr>
      <w:tr w14:paraId="48EF15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D50CABC">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行政处罚</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7983F7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442</w:t>
            </w:r>
          </w:p>
        </w:tc>
      </w:tr>
      <w:tr w14:paraId="7B4CE0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18D550">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行政强制</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EA07D3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r>
      <w:tr w14:paraId="76C3F5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33F4A3">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第二十条第（八）项</w:t>
            </w:r>
          </w:p>
        </w:tc>
      </w:tr>
      <w:tr w14:paraId="7AB31A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20B22BF">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4DBE684">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本年收费金额（单位：万元）</w:t>
            </w:r>
          </w:p>
        </w:tc>
      </w:tr>
      <w:tr w14:paraId="0617B4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B1EE7AE">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行政事业性收费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61BF1E4">
            <w:pPr>
              <w:jc w:val="center"/>
              <w:rPr>
                <w:rFonts w:hint="default" w:ascii="仿宋_GB2312" w:hAnsi="仿宋_GB2312" w:eastAsia="仿宋_GB2312" w:cs="仿宋_GB2312"/>
                <w:color w:val="4874CB" w:themeColor="accent1"/>
                <w:sz w:val="24"/>
                <w:szCs w:val="24"/>
                <w:lang w:val="en-US" w:eastAsia="zh-CN"/>
                <w14:textFill>
                  <w14:solidFill>
                    <w14:schemeClr w14:val="accent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294</w:t>
            </w:r>
          </w:p>
        </w:tc>
      </w:tr>
    </w:tbl>
    <w:p w14:paraId="29223C4F">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textAlignment w:val="auto"/>
        <w:rPr>
          <w:rFonts w:hint="eastAsia" w:ascii="黑体" w:hAnsi="宋体" w:eastAsia="黑体" w:cs="黑体"/>
          <w:color w:val="000000" w:themeColor="text1"/>
          <w:spacing w:val="0"/>
          <w:sz w:val="31"/>
          <w:szCs w:val="31"/>
          <w14:textFill>
            <w14:solidFill>
              <w14:schemeClr w14:val="tx1"/>
            </w14:solidFill>
          </w14:textFill>
        </w:rPr>
      </w:pPr>
    </w:p>
    <w:p w14:paraId="0F1F162A">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668"/>
        <w:gridCol w:w="540"/>
        <w:gridCol w:w="553"/>
        <w:gridCol w:w="553"/>
        <w:gridCol w:w="700"/>
        <w:gridCol w:w="673"/>
        <w:gridCol w:w="553"/>
        <w:gridCol w:w="806"/>
      </w:tblGrid>
      <w:tr w14:paraId="296FBA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335111">
            <w:pPr>
              <w:pStyle w:val="4"/>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974465">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申请人情况</w:t>
            </w:r>
          </w:p>
        </w:tc>
      </w:tr>
      <w:tr w14:paraId="04876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B4B022">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D31F43">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152743">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C2744E">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总计</w:t>
            </w:r>
          </w:p>
        </w:tc>
      </w:tr>
      <w:tr w14:paraId="5F99EE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DE4E37">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BB97E5">
            <w:pPr>
              <w:jc w:val="center"/>
              <w:rPr>
                <w:rFonts w:hint="eastAsia" w:ascii="黑体" w:hAnsi="黑体" w:eastAsia="黑体" w:cs="黑体"/>
                <w:color w:val="000000" w:themeColor="text1"/>
                <w14:textFill>
                  <w14:solidFill>
                    <w14:schemeClr w14:val="tx1"/>
                  </w14:solidFill>
                </w14:textFill>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8EA81B">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465B34">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58638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C7F77E">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827466">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500C3E">
            <w:pPr>
              <w:jc w:val="center"/>
              <w:rPr>
                <w:rFonts w:hint="eastAsia" w:ascii="黑体" w:hAnsi="黑体" w:eastAsia="黑体" w:cs="黑体"/>
                <w:color w:val="000000" w:themeColor="text1"/>
                <w14:textFill>
                  <w14:solidFill>
                    <w14:schemeClr w14:val="tx1"/>
                  </w14:solidFill>
                </w14:textFill>
              </w:rPr>
            </w:pPr>
          </w:p>
        </w:tc>
      </w:tr>
      <w:tr w14:paraId="4F9E60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FC0090">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w:t>
            </w:r>
            <w:bookmarkStart w:id="0" w:name="_Hlk66973412"/>
            <w:r>
              <w:rPr>
                <w:rFonts w:hint="eastAsia" w:ascii="黑体" w:hAnsi="黑体" w:eastAsia="黑体" w:cs="黑体"/>
                <w:color w:val="000000" w:themeColor="text1"/>
                <w14:textFill>
                  <w14:solidFill>
                    <w14:schemeClr w14:val="tx1"/>
                  </w14:solidFill>
                </w14:textFill>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9E0F4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53</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5AD0F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DA738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rPr>
            </w:pPr>
            <w:r>
              <w:rPr>
                <w:rFonts w:hint="eastAsia" w:ascii="仿宋_GB2312" w:hAnsi="sans-serif" w:eastAsia="仿宋_GB2312" w:cs="仿宋_GB2312"/>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F7BF9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rPr>
            </w:pPr>
            <w:r>
              <w:rPr>
                <w:rFonts w:hint="eastAsia" w:ascii="仿宋_GB2312" w:hAnsi="sans-serif" w:eastAsia="仿宋_GB2312" w:cs="仿宋_GB2312"/>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2B82F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rPr>
            </w:pPr>
            <w:r>
              <w:rPr>
                <w:rFonts w:hint="eastAsia" w:ascii="仿宋_GB2312" w:hAnsi="sans-serif" w:eastAsia="仿宋_GB2312" w:cs="仿宋_GB2312"/>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A1A83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rPr>
            </w:pPr>
            <w:r>
              <w:rPr>
                <w:rFonts w:hint="eastAsia" w:ascii="仿宋_GB2312" w:hAnsi="sans-serif" w:eastAsia="仿宋_GB2312" w:cs="仿宋_GB2312"/>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B2963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53</w:t>
            </w:r>
          </w:p>
        </w:tc>
      </w:tr>
      <w:tr w14:paraId="532EF9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5B571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BA7AD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3</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6E5CC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B8EBD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5683D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0E2AC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0480E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600F4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3</w:t>
            </w:r>
          </w:p>
        </w:tc>
      </w:tr>
      <w:tr w14:paraId="73218C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5BD5D6">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BF5D5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5D4B9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24</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D0E52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CFFCB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DD67A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135CF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AD098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F7F31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24</w:t>
            </w:r>
          </w:p>
        </w:tc>
      </w:tr>
      <w:tr w14:paraId="361511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73BEBA">
            <w:pPr>
              <w:jc w:val="center"/>
              <w:rPr>
                <w:rFonts w:hint="eastAsia" w:ascii="黑体" w:hAnsi="黑体" w:eastAsia="黑体" w:cs="黑体"/>
                <w:color w:val="000000" w:themeColor="text1"/>
                <w14:textFill>
                  <w14:solidFill>
                    <w14:schemeClr w14:val="tx1"/>
                  </w14:solidFill>
                </w14:textFill>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EC444D">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（二）部分公开（</w:t>
            </w:r>
            <w:bookmarkStart w:id="1" w:name="_Hlk66973981"/>
            <w:r>
              <w:rPr>
                <w:rFonts w:hint="eastAsia" w:ascii="黑体" w:hAnsi="黑体" w:eastAsia="黑体" w:cs="黑体"/>
                <w:color w:val="000000" w:themeColor="text1"/>
                <w14:textFill>
                  <w14:solidFill>
                    <w14:schemeClr w14:val="tx1"/>
                  </w14:solidFill>
                </w14:textFill>
              </w:rPr>
              <w:t>区分处理的，只计这一情形，不计其他情形</w:t>
            </w:r>
            <w:bookmarkEnd w:id="1"/>
            <w:r>
              <w:rPr>
                <w:rFonts w:hint="eastAsia" w:ascii="黑体" w:hAnsi="黑体" w:eastAsia="黑体" w:cs="黑体"/>
                <w:color w:val="000000" w:themeColor="text1"/>
                <w14:textFill>
                  <w14:solidFill>
                    <w14:schemeClr w14:val="tx1"/>
                  </w14:solidFill>
                </w14:textFill>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2BB39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4</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5B6AC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6C215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D8CDF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8297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0E3FC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EACF7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4</w:t>
            </w:r>
          </w:p>
        </w:tc>
      </w:tr>
      <w:tr w14:paraId="76C963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341328">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C04BD6">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EBDBDA">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9AE69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91F9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BBFB5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A0F19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E2B9F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7DE34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C6F19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78F287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E4CA21">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8C824D">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43C651">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bookmarkStart w:id="2" w:name="_Hlk66974104"/>
            <w:r>
              <w:rPr>
                <w:rFonts w:hint="eastAsia" w:ascii="仿宋_GB2312" w:hAnsi="仿宋_GB2312" w:eastAsia="仿宋_GB2312" w:cs="仿宋_GB2312"/>
                <w:color w:val="000000" w:themeColor="text1"/>
                <w14:textFill>
                  <w14:solidFill>
                    <w14:schemeClr w14:val="tx1"/>
                  </w14:solidFill>
                </w14:textFill>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04F55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5C688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DF199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04E14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3D98B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87DFB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14F6C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7334C8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B6DB9A">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9AE065">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4C5AFE">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13B0F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0188B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690A8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5A11E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E6348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9CB33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1E2D9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0087C4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3602A4">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CD4D6A">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821F96">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w:t>
            </w:r>
            <w:bookmarkStart w:id="3" w:name="_Hlk66974290"/>
            <w:r>
              <w:rPr>
                <w:rFonts w:hint="eastAsia" w:ascii="仿宋_GB2312" w:hAnsi="仿宋_GB2312" w:eastAsia="仿宋_GB2312" w:cs="仿宋_GB2312"/>
                <w:color w:val="000000" w:themeColor="text1"/>
                <w14:textFill>
                  <w14:solidFill>
                    <w14:schemeClr w14:val="tx1"/>
                  </w14:solidFill>
                </w14:textFill>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3EA3A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88F3B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960DB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3D9D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432D5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F76D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8B352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w:t>
            </w:r>
          </w:p>
        </w:tc>
      </w:tr>
      <w:tr w14:paraId="606A51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6B2F7C">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19445F">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69A3D9">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7D896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9BBF2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E8DDA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F6AA2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73500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1AEC5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D5E97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5C9157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04AB1B">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247BFF">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3A2ACB">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w:t>
            </w:r>
            <w:bookmarkStart w:id="4" w:name="_Hlk66974555"/>
            <w:r>
              <w:rPr>
                <w:rFonts w:hint="eastAsia" w:ascii="仿宋_GB2312" w:hAnsi="仿宋_GB2312" w:eastAsia="仿宋_GB2312" w:cs="仿宋_GB2312"/>
                <w:color w:val="000000" w:themeColor="text1"/>
                <w14:textFill>
                  <w14:solidFill>
                    <w14:schemeClr w14:val="tx1"/>
                  </w14:solidFill>
                </w14:textFill>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04114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08F8A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893D1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CCAA0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5CF09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53601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27F62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43435A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1D2CC3">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11147">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867DA5">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A95BF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FCC15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A9832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FDDB3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B34E9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8062C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07EC3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w:t>
            </w:r>
          </w:p>
        </w:tc>
      </w:tr>
      <w:tr w14:paraId="3ED4C0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19AA62">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8E6B62">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3EE71D">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w:t>
            </w:r>
            <w:bookmarkStart w:id="5" w:name="_Hlk66975211"/>
            <w:r>
              <w:rPr>
                <w:rFonts w:hint="eastAsia" w:ascii="仿宋_GB2312" w:hAnsi="仿宋_GB2312" w:eastAsia="仿宋_GB2312" w:cs="仿宋_GB2312"/>
                <w:color w:val="000000" w:themeColor="text1"/>
                <w14:textFill>
                  <w14:solidFill>
                    <w14:schemeClr w14:val="tx1"/>
                  </w14:solidFill>
                </w14:textFill>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AF1B3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A86E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6FE92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5202A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E811B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22DB6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8F8BB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1</w:t>
            </w:r>
          </w:p>
        </w:tc>
      </w:tr>
      <w:tr w14:paraId="60D6BB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98A03B">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E58DAD">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30B72E">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07196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FAB73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A630E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FFA79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21C0D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48D14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35FE2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21</w:t>
            </w:r>
          </w:p>
        </w:tc>
      </w:tr>
      <w:tr w14:paraId="027ED1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ABBF7E">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3B372B">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1D727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bookmarkStart w:id="6" w:name="_Hlk66975392"/>
            <w:r>
              <w:rPr>
                <w:rFonts w:hint="eastAsia" w:ascii="仿宋_GB2312" w:hAnsi="仿宋_GB2312" w:eastAsia="仿宋_GB2312" w:cs="仿宋_GB2312"/>
                <w:color w:val="000000" w:themeColor="text1"/>
                <w14:textFill>
                  <w14:solidFill>
                    <w14:schemeClr w14:val="tx1"/>
                  </w14:solidFill>
                </w14:textFill>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EF7B7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319DB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D43B7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BA771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AA788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47EDC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C3FE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683862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AACE1E">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F91B21">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4461C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w:t>
            </w:r>
            <w:bookmarkStart w:id="7" w:name="_Hlk66975466"/>
            <w:r>
              <w:rPr>
                <w:rFonts w:hint="eastAsia" w:ascii="仿宋_GB2312" w:hAnsi="仿宋_GB2312" w:eastAsia="仿宋_GB2312" w:cs="仿宋_GB2312"/>
                <w:color w:val="000000" w:themeColor="text1"/>
                <w14:textFill>
                  <w14:solidFill>
                    <w14:schemeClr w14:val="tx1"/>
                  </w14:solidFill>
                </w14:textFill>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07B3ED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19481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02B4D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86AA3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C5CF1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13B13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A261F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5AA67B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2C1C27">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778A5B">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23FB30">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bookmarkStart w:id="8" w:name="_Hlk66975537"/>
            <w:r>
              <w:rPr>
                <w:rFonts w:hint="eastAsia" w:ascii="仿宋_GB2312" w:hAnsi="仿宋_GB2312" w:eastAsia="仿宋_GB2312" w:cs="仿宋_GB2312"/>
                <w:color w:val="000000" w:themeColor="text1"/>
                <w14:textFill>
                  <w14:solidFill>
                    <w14:schemeClr w14:val="tx1"/>
                  </w14:solidFill>
                </w14:textFill>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F6C3A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813E6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9696F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CE936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1B735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61B95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DA480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5BE8A1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1B56E0">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0FE938">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CC9811">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42D48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F9585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F0D78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0881A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8E65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A893B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0BBC7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4F11C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ECDE59">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19AF03">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C3D8E0">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FA6B4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A0CCD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60382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649D5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28888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12D61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2049C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68FBDC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ACB766">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7CAA96">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2A39DB">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825F7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04E92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34B01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D152F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4E25E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08329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76BDD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3CF741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47551F">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61F3A6">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0774FA">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654AE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4FA6D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9A130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C4BF1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CCF60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5BF76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4FE52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02631B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9D756D">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D1305A">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DC8873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139A3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25B45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3B48A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DE62F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87BBF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11751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BE68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374F25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6D4EA3">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835847">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58A6616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F67CA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C7869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B253E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AB545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6E879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6607D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BE6BB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r>
      <w:tr w14:paraId="68DCEF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156FB9">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151A9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27792756">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6BF7F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0403E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1DBB4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D48A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36EC5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0F53B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33126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1</w:t>
            </w:r>
          </w:p>
        </w:tc>
      </w:tr>
      <w:tr w14:paraId="41C3CB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C66FDD">
            <w:pPr>
              <w:jc w:val="center"/>
              <w:rPr>
                <w:rFonts w:hint="eastAsia" w:ascii="黑体" w:hAnsi="黑体" w:eastAsia="黑体" w:cs="黑体"/>
                <w:color w:val="000000" w:themeColor="text1"/>
                <w14:textFill>
                  <w14:solidFill>
                    <w14:schemeClr w14:val="tx1"/>
                  </w14:solidFill>
                </w14:textFill>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2A24D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53146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55</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BA0B2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408B9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F4B7B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5122E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56539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56F04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55</w:t>
            </w:r>
          </w:p>
        </w:tc>
      </w:tr>
      <w:tr w14:paraId="27F645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7F3480">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A1F2D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B69F3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B5C5A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96007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43AC5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0CBE0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372C8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auto"/>
                <w:sz w:val="21"/>
                <w:szCs w:val="21"/>
                <w:lang w:val="en-US" w:eastAsia="zh-CN"/>
              </w:rPr>
            </w:pPr>
            <w:r>
              <w:rPr>
                <w:rFonts w:hint="eastAsia" w:ascii="仿宋_GB2312" w:hAnsi="sans-serif" w:eastAsia="仿宋_GB2312" w:cs="仿宋_GB2312"/>
                <w:color w:val="auto"/>
                <w:sz w:val="21"/>
                <w:szCs w:val="21"/>
                <w:lang w:val="en-US" w:eastAsia="zh-CN"/>
              </w:rPr>
              <w:t>1</w:t>
            </w:r>
          </w:p>
        </w:tc>
      </w:tr>
    </w:tbl>
    <w:p w14:paraId="7BBF5492">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四、政府信息公开行政复议、行政诉讼情况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15"/>
        <w:gridCol w:w="570"/>
        <w:gridCol w:w="598"/>
        <w:gridCol w:w="570"/>
        <w:gridCol w:w="419"/>
        <w:gridCol w:w="543"/>
        <w:gridCol w:w="584"/>
        <w:gridCol w:w="584"/>
        <w:gridCol w:w="584"/>
        <w:gridCol w:w="598"/>
        <w:gridCol w:w="584"/>
        <w:gridCol w:w="584"/>
        <w:gridCol w:w="585"/>
        <w:gridCol w:w="585"/>
        <w:gridCol w:w="613"/>
      </w:tblGrid>
      <w:tr w14:paraId="3282CF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67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763EF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行政复议</w:t>
            </w:r>
          </w:p>
        </w:tc>
        <w:tc>
          <w:tcPr>
            <w:tcW w:w="5844"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F4D778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行政诉讼</w:t>
            </w:r>
          </w:p>
        </w:tc>
      </w:tr>
      <w:tr w14:paraId="7030CF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1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1369D8E">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p w14:paraId="4AE1E37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维持</w:t>
            </w:r>
          </w:p>
        </w:tc>
        <w:tc>
          <w:tcPr>
            <w:tcW w:w="57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5ECB78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结果纠正</w:t>
            </w:r>
          </w:p>
        </w:tc>
        <w:tc>
          <w:tcPr>
            <w:tcW w:w="598"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0559BF9">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其他结果</w:t>
            </w:r>
          </w:p>
        </w:tc>
        <w:tc>
          <w:tcPr>
            <w:tcW w:w="57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FBA8FC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w:t>
            </w:r>
          </w:p>
          <w:p w14:paraId="4440BE3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审结</w:t>
            </w:r>
          </w:p>
        </w:tc>
        <w:tc>
          <w:tcPr>
            <w:tcW w:w="419"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CC5624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w:t>
            </w:r>
          </w:p>
          <w:p w14:paraId="2CCCE25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计</w:t>
            </w:r>
          </w:p>
        </w:tc>
        <w:tc>
          <w:tcPr>
            <w:tcW w:w="2893"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7099198">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未经复议直接起诉</w:t>
            </w:r>
          </w:p>
        </w:tc>
        <w:tc>
          <w:tcPr>
            <w:tcW w:w="2951"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2993526">
            <w:pPr>
              <w:jc w:val="center"/>
              <w:rPr>
                <w:rFonts w:hint="eastAsia" w:ascii="黑体" w:hAnsi="黑体" w:eastAsia="黑体" w:cs="黑体"/>
                <w:color w:val="000000" w:themeColor="text1"/>
                <w:sz w:val="20"/>
                <w:szCs w:val="20"/>
                <w14:textFill>
                  <w14:solidFill>
                    <w14:schemeClr w14:val="tx1"/>
                  </w14:solidFill>
                </w14:textFill>
              </w:rPr>
            </w:pPr>
            <w:bookmarkStart w:id="9" w:name="_Hlk67039688"/>
            <w:r>
              <w:rPr>
                <w:rFonts w:hint="eastAsia" w:ascii="黑体" w:hAnsi="黑体" w:eastAsia="黑体" w:cs="黑体"/>
                <w:color w:val="000000" w:themeColor="text1"/>
                <w:sz w:val="20"/>
                <w:szCs w:val="20"/>
                <w14:textFill>
                  <w14:solidFill>
                    <w14:schemeClr w14:val="tx1"/>
                  </w14:solidFill>
                </w14:textFill>
              </w:rPr>
              <w:t>复议后起诉</w:t>
            </w:r>
            <w:bookmarkEnd w:id="9"/>
          </w:p>
        </w:tc>
      </w:tr>
      <w:tr w14:paraId="402978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1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3544C96">
            <w:pPr>
              <w:jc w:val="center"/>
              <w:rPr>
                <w:rFonts w:hint="eastAsia" w:ascii="黑体" w:hAnsi="黑体" w:eastAsia="黑体" w:cs="黑体"/>
                <w:color w:val="000000" w:themeColor="text1"/>
                <w:sz w:val="20"/>
                <w:szCs w:val="20"/>
                <w14:textFill>
                  <w14:solidFill>
                    <w14:schemeClr w14:val="tx1"/>
                  </w14:solidFill>
                </w14:textFill>
              </w:rPr>
            </w:pPr>
          </w:p>
        </w:tc>
        <w:tc>
          <w:tcPr>
            <w:tcW w:w="57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169ECFE4">
            <w:pPr>
              <w:jc w:val="center"/>
              <w:rPr>
                <w:rFonts w:hint="eastAsia" w:ascii="黑体" w:hAnsi="黑体" w:eastAsia="黑体" w:cs="黑体"/>
                <w:color w:val="000000" w:themeColor="text1"/>
                <w:sz w:val="20"/>
                <w:szCs w:val="20"/>
                <w14:textFill>
                  <w14:solidFill>
                    <w14:schemeClr w14:val="tx1"/>
                  </w14:solidFill>
                </w14:textFill>
              </w:rPr>
            </w:pPr>
          </w:p>
        </w:tc>
        <w:tc>
          <w:tcPr>
            <w:tcW w:w="598"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3CFAA13">
            <w:pPr>
              <w:jc w:val="center"/>
              <w:rPr>
                <w:rFonts w:hint="eastAsia" w:ascii="黑体" w:hAnsi="黑体" w:eastAsia="黑体" w:cs="黑体"/>
                <w:color w:val="000000" w:themeColor="text1"/>
                <w:sz w:val="20"/>
                <w:szCs w:val="20"/>
                <w14:textFill>
                  <w14:solidFill>
                    <w14:schemeClr w14:val="tx1"/>
                  </w14:solidFill>
                </w14:textFill>
              </w:rPr>
            </w:pPr>
          </w:p>
        </w:tc>
        <w:tc>
          <w:tcPr>
            <w:tcW w:w="57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953156E">
            <w:pPr>
              <w:jc w:val="center"/>
              <w:rPr>
                <w:rFonts w:hint="eastAsia" w:ascii="黑体" w:hAnsi="黑体" w:eastAsia="黑体" w:cs="黑体"/>
                <w:color w:val="000000" w:themeColor="text1"/>
                <w:sz w:val="20"/>
                <w:szCs w:val="20"/>
                <w14:textFill>
                  <w14:solidFill>
                    <w14:schemeClr w14:val="tx1"/>
                  </w14:solidFill>
                </w14:textFill>
              </w:rPr>
            </w:pPr>
          </w:p>
        </w:tc>
        <w:tc>
          <w:tcPr>
            <w:tcW w:w="419"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AAFACBB">
            <w:pPr>
              <w:jc w:val="center"/>
              <w:rPr>
                <w:rFonts w:hint="eastAsia" w:ascii="黑体" w:hAnsi="黑体" w:eastAsia="黑体" w:cs="黑体"/>
                <w:color w:val="000000" w:themeColor="text1"/>
                <w:sz w:val="20"/>
                <w:szCs w:val="20"/>
                <w14:textFill>
                  <w14:solidFill>
                    <w14:schemeClr w14:val="tx1"/>
                  </w14:solidFill>
                </w14:textFill>
              </w:rPr>
            </w:pP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46100E0F">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结果维持</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25D2E29B">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6B1D9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w:t>
            </w:r>
          </w:p>
          <w:p w14:paraId="04BDDEF7">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F622EC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w:t>
            </w:r>
          </w:p>
          <w:p w14:paraId="395BFF4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审结</w:t>
            </w:r>
          </w:p>
        </w:tc>
        <w:tc>
          <w:tcPr>
            <w:tcW w:w="598"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B92D195">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总计</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3B15BFE">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结果维持</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61C221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p w14:paraId="6DA93BF9">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纠正</w:t>
            </w:r>
          </w:p>
        </w:tc>
        <w:tc>
          <w:tcPr>
            <w:tcW w:w="585"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EB982A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w:t>
            </w:r>
          </w:p>
          <w:p w14:paraId="0D0302B8">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tc>
        <w:tc>
          <w:tcPr>
            <w:tcW w:w="585"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A0C46C9">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尚未审结</w:t>
            </w:r>
          </w:p>
        </w:tc>
        <w:tc>
          <w:tcPr>
            <w:tcW w:w="613"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C414CD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总计</w:t>
            </w:r>
          </w:p>
        </w:tc>
      </w:tr>
      <w:tr w14:paraId="44813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6C13B2F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3</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58A94D0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3</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1208436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2</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7EEA1A6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c>
          <w:tcPr>
            <w:tcW w:w="419" w:type="dxa"/>
            <w:tcBorders>
              <w:top w:val="nil"/>
              <w:left w:val="nil"/>
              <w:bottom w:val="single" w:color="auto" w:sz="6" w:space="0"/>
              <w:right w:val="single" w:color="auto" w:sz="6" w:space="0"/>
            </w:tcBorders>
            <w:noWrap w:val="0"/>
            <w:tcMar>
              <w:left w:w="105" w:type="dxa"/>
              <w:bottom w:w="0" w:type="dxa"/>
              <w:right w:w="105" w:type="dxa"/>
            </w:tcMar>
            <w:vAlign w:val="center"/>
          </w:tcPr>
          <w:p w14:paraId="0A93D94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9</w:t>
            </w: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2A13152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0602F7B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1A7D306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2BE11E6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34500E7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4DAA69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6E0F44E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7456B2A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167C969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613" w:type="dxa"/>
            <w:tcBorders>
              <w:top w:val="nil"/>
              <w:left w:val="nil"/>
              <w:bottom w:val="single" w:color="auto" w:sz="6" w:space="0"/>
              <w:right w:val="single" w:color="auto" w:sz="6" w:space="0"/>
            </w:tcBorders>
            <w:noWrap w:val="0"/>
            <w:tcMar>
              <w:left w:w="105" w:type="dxa"/>
              <w:bottom w:w="0" w:type="dxa"/>
              <w:right w:w="105" w:type="dxa"/>
            </w:tcMar>
            <w:vAlign w:val="center"/>
          </w:tcPr>
          <w:p w14:paraId="2E4100A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r>
    </w:tbl>
    <w:p w14:paraId="31CB0E96">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textAlignment w:val="auto"/>
      </w:pPr>
    </w:p>
    <w:p w14:paraId="1003547C">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五、政府信息公开工作存在的主要问题及改进情况</w:t>
      </w:r>
    </w:p>
    <w:p w14:paraId="563C6E98">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auto"/>
          <w:spacing w:val="0"/>
          <w:kern w:val="2"/>
          <w:sz w:val="32"/>
          <w:szCs w:val="32"/>
          <w:lang w:val="en-US" w:eastAsia="zh-CN" w:bidi="ar-SA"/>
        </w:rPr>
        <w:t>（一）</w:t>
      </w:r>
      <w:r>
        <w:rPr>
          <w:rFonts w:hint="eastAsia" w:ascii="楷体_GB2312" w:hAnsi="楷体_GB2312" w:eastAsia="楷体_GB2312" w:cs="楷体_GB2312"/>
          <w:color w:val="000000" w:themeColor="text1"/>
          <w:sz w:val="32"/>
          <w:szCs w:val="32"/>
          <w14:textFill>
            <w14:solidFill>
              <w14:schemeClr w14:val="tx1"/>
            </w14:solidFill>
          </w14:textFill>
        </w:rPr>
        <w:t>存在的主要问题</w:t>
      </w:r>
    </w:p>
    <w:p w14:paraId="75102CB7">
      <w:pPr>
        <w:numPr>
          <w:ilvl w:val="0"/>
          <w:numId w:val="0"/>
        </w:numPr>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b/>
          <w:bCs/>
          <w:color w:val="auto"/>
          <w:spacing w:val="0"/>
          <w:kern w:val="2"/>
          <w:sz w:val="32"/>
          <w:szCs w:val="32"/>
          <w:lang w:val="en-US" w:eastAsia="zh-CN" w:bidi="ar-SA"/>
        </w:rPr>
        <w:t>是</w:t>
      </w:r>
      <w:r>
        <w:rPr>
          <w:rFonts w:hint="eastAsia" w:ascii="仿宋_GB2312" w:hAnsi="仿宋_GB2312" w:eastAsia="仿宋_GB2312" w:cs="仿宋_GB2312"/>
          <w:sz w:val="32"/>
          <w:szCs w:val="32"/>
          <w:lang w:eastAsia="zh-CN"/>
        </w:rPr>
        <w:t>部分单位存在专业性认识不足、人员流动频繁以及业务交接不完善等问题，影响工作效率。</w:t>
      </w:r>
    </w:p>
    <w:p w14:paraId="75B31AC4">
      <w:pPr>
        <w:numPr>
          <w:ilvl w:val="0"/>
          <w:numId w:val="0"/>
        </w:numPr>
        <w:ind w:leftChars="0"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sz w:val="32"/>
          <w:szCs w:val="32"/>
          <w:lang w:eastAsia="zh-CN"/>
        </w:rPr>
        <w:t>部分单位</w:t>
      </w:r>
      <w:r>
        <w:rPr>
          <w:rFonts w:hint="eastAsia" w:ascii="仿宋_GB2312" w:hAnsi="仿宋_GB2312" w:eastAsia="仿宋_GB2312" w:cs="仿宋_GB2312"/>
          <w:sz w:val="32"/>
          <w:szCs w:val="32"/>
        </w:rPr>
        <w:t>未能根据政策内容进行针对性</w:t>
      </w:r>
      <w:r>
        <w:rPr>
          <w:rFonts w:hint="eastAsia" w:ascii="仿宋_GB2312" w:hAnsi="仿宋_GB2312" w:eastAsia="仿宋_GB2312" w:cs="仿宋_GB2312"/>
          <w:sz w:val="32"/>
          <w:szCs w:val="32"/>
          <w:lang w:eastAsia="zh-CN"/>
        </w:rPr>
        <w:t>解读，解读形式有待增加。</w:t>
      </w:r>
    </w:p>
    <w:p w14:paraId="447480BC">
      <w:pPr>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auto"/>
          <w:spacing w:val="0"/>
          <w:kern w:val="2"/>
          <w:sz w:val="32"/>
          <w:szCs w:val="32"/>
          <w:lang w:val="en-US" w:eastAsia="zh-CN" w:bidi="ar-SA"/>
        </w:rPr>
        <w:t>（二）</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改进情况</w:t>
      </w:r>
    </w:p>
    <w:p w14:paraId="444BB2C0">
      <w:pPr>
        <w:pStyle w:val="3"/>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cs="Times New Roman"/>
          <w:color w:val="auto"/>
          <w:spacing w:val="0"/>
          <w:kern w:val="2"/>
          <w:sz w:val="32"/>
          <w:szCs w:val="32"/>
          <w:lang w:val="en-US" w:eastAsia="zh-CN" w:bidi="ar-SA"/>
        </w:rPr>
        <w:t>一</w:t>
      </w:r>
      <w:r>
        <w:rPr>
          <w:rFonts w:hint="eastAsia" w:ascii="Times New Roman" w:hAnsi="Times New Roman" w:eastAsia="仿宋_GB2312" w:cs="Times New Roman"/>
          <w:b/>
          <w:bCs/>
          <w:color w:val="auto"/>
          <w:spacing w:val="0"/>
          <w:kern w:val="2"/>
          <w:sz w:val="32"/>
          <w:szCs w:val="32"/>
          <w:lang w:val="en-US" w:eastAsia="zh-CN" w:bidi="ar-SA"/>
        </w:rPr>
        <w:t>是</w:t>
      </w:r>
      <w:r>
        <w:rPr>
          <w:rFonts w:hint="eastAsia" w:ascii="Times New Roman" w:hAnsi="Times New Roman" w:cs="Times New Roman"/>
          <w:color w:val="auto"/>
          <w:spacing w:val="0"/>
          <w:kern w:val="2"/>
          <w:sz w:val="32"/>
          <w:szCs w:val="32"/>
          <w:lang w:val="en-US" w:eastAsia="zh-CN" w:bidi="ar-SA"/>
        </w:rPr>
        <w:t>强化专业性培训</w:t>
      </w:r>
      <w:r>
        <w:rPr>
          <w:rFonts w:hint="eastAsia" w:ascii="Times New Roman" w:hAnsi="Times New Roman" w:eastAsia="仿宋_GB2312" w:cs="Times New Roman"/>
          <w:color w:val="auto"/>
          <w:spacing w:val="0"/>
          <w:kern w:val="2"/>
          <w:sz w:val="32"/>
          <w:szCs w:val="32"/>
          <w:lang w:val="en-US" w:eastAsia="zh-CN" w:bidi="ar-SA"/>
        </w:rPr>
        <w:t>，定期组织政务公开工作相关的专业培训，邀请行业专家或上级部门进行授课，提升工作人员的业务水平和专业素养。</w:t>
      </w:r>
    </w:p>
    <w:p w14:paraId="5F406ADE">
      <w:pPr>
        <w:pStyle w:val="3"/>
        <w:rPr>
          <w:rFonts w:hint="eastAsia" w:ascii="Times New Roman" w:hAnsi="Times New Roman" w:eastAsia="仿宋_GB2312" w:cs="Times New Roman"/>
          <w:color w:val="auto"/>
          <w:spacing w:val="0"/>
          <w:kern w:val="2"/>
          <w:sz w:val="32"/>
          <w:szCs w:val="32"/>
          <w:lang w:val="en-US" w:eastAsia="zh-CN" w:bidi="ar-SA"/>
        </w:rPr>
      </w:pPr>
      <w:bookmarkStart w:id="10" w:name="_GoBack"/>
      <w:bookmarkEnd w:id="10"/>
      <w:r>
        <w:rPr>
          <w:rFonts w:hint="eastAsia" w:ascii="Times New Roman" w:hAnsi="Times New Roman" w:cs="Times New Roman"/>
          <w:b/>
          <w:bCs/>
          <w:color w:val="auto"/>
          <w:spacing w:val="0"/>
          <w:kern w:val="2"/>
          <w:sz w:val="32"/>
          <w:szCs w:val="32"/>
          <w:lang w:val="en-US" w:eastAsia="zh-CN" w:bidi="ar-SA"/>
        </w:rPr>
        <w:t>二</w:t>
      </w:r>
      <w:r>
        <w:rPr>
          <w:rFonts w:hint="eastAsia" w:ascii="Times New Roman" w:hAnsi="Times New Roman" w:eastAsia="仿宋_GB2312" w:cs="Times New Roman"/>
          <w:b/>
          <w:bCs/>
          <w:color w:val="auto"/>
          <w:spacing w:val="0"/>
          <w:kern w:val="2"/>
          <w:sz w:val="32"/>
          <w:szCs w:val="32"/>
          <w:lang w:val="en-US" w:eastAsia="zh-CN" w:bidi="ar-SA"/>
        </w:rPr>
        <w:t>是</w:t>
      </w:r>
      <w:r>
        <w:rPr>
          <w:rFonts w:hint="eastAsia" w:ascii="Times New Roman" w:hAnsi="Times New Roman" w:eastAsia="仿宋_GB2312" w:cs="Times New Roman"/>
          <w:color w:val="auto"/>
          <w:spacing w:val="0"/>
          <w:kern w:val="2"/>
          <w:sz w:val="32"/>
          <w:szCs w:val="32"/>
          <w:lang w:val="en-US" w:eastAsia="zh-CN" w:bidi="ar-SA"/>
        </w:rPr>
        <w:t>创新多元解读视角，在解读形式多元化上，采用图文解读、视频解读、动画解读、专家解读、案例解读等多种形式，以满足不同受众的阅读习惯和信息获取需求，避免解读内容照本宣科、千篇一律。</w:t>
      </w:r>
    </w:p>
    <w:p w14:paraId="190DCF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六、其他需要报告的事项</w:t>
      </w:r>
    </w:p>
    <w:p w14:paraId="169032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（一）本年度政府信息公开申请未达到《政府信息公开信息处理费管理办法》（国办函〔2020〕109号）所规定的信息处理费收费标准，故未收取信息处理费。</w:t>
      </w:r>
    </w:p>
    <w:p w14:paraId="0D1EB1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（二）落实上级政务公开重点工作情况。持续深化政务公开工作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保障上级各项决策部署精准高效落地实施，推进重点领域的信息公开工作、提升政策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文件</w:t>
      </w:r>
      <w:r>
        <w:rPr>
          <w:rFonts w:hint="eastAsia" w:ascii="仿宋_GB2312" w:hAnsi="仿宋_GB2312" w:eastAsia="仿宋_GB2312" w:cs="仿宋_GB2312"/>
          <w:color w:val="000000" w:themeColor="text1"/>
          <w:sz w:val="32"/>
          <w:szCs w:val="32"/>
          <w14:textFill>
            <w14:solidFill>
              <w14:schemeClr w14:val="tx1"/>
            </w14:solidFill>
          </w14:textFill>
        </w:rPr>
        <w:t>公开的精准性与实效性等，同时对</w:t>
      </w:r>
      <w:r>
        <w:rPr>
          <w:rFonts w:hint="eastAsia" w:ascii="仿宋_GB2312" w:hAnsi="仿宋_GB2312" w:eastAsia="仿宋_GB2312" w:cs="仿宋_GB2312"/>
          <w:color w:val="000000" w:themeColor="text1"/>
          <w:sz w:val="32"/>
          <w:szCs w:val="32"/>
          <w:lang w:eastAsia="zh-CN"/>
          <w14:textFill>
            <w14:solidFill>
              <w14:schemeClr w14:val="tx1"/>
            </w14:solidFill>
          </w14:textFill>
        </w:rPr>
        <w:t>政务公开专题专栏</w:t>
      </w:r>
      <w:r>
        <w:rPr>
          <w:rFonts w:hint="eastAsia" w:ascii="仿宋_GB2312" w:hAnsi="仿宋_GB2312" w:eastAsia="仿宋_GB2312" w:cs="仿宋_GB2312"/>
          <w:color w:val="000000" w:themeColor="text1"/>
          <w:sz w:val="32"/>
          <w:szCs w:val="32"/>
          <w14:textFill>
            <w14:solidFill>
              <w14:schemeClr w14:val="tx1"/>
            </w14:solidFill>
          </w14:textFill>
        </w:rPr>
        <w:t>架构进行科学优化与合理调整。</w:t>
      </w:r>
    </w:p>
    <w:p w14:paraId="346108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ascii="仿宋_GB2312" w:hAnsi="宋体" w:eastAsia="仿宋_GB2312" w:cs="仿宋_GB2312"/>
          <w:color w:val="000000" w:themeColor="text1"/>
          <w:sz w:val="32"/>
          <w:szCs w:val="32"/>
          <w14:textFill>
            <w14:solidFill>
              <w14:schemeClr w14:val="tx1"/>
            </w14:solidFill>
          </w14:textFill>
        </w:rPr>
        <w:t>202</w:t>
      </w:r>
      <w:r>
        <w:rPr>
          <w:rFonts w:hint="eastAsia" w:ascii="仿宋_GB2312" w:hAnsi="宋体" w:eastAsia="仿宋_GB2312" w:cs="仿宋_GB2312"/>
          <w:color w:val="000000" w:themeColor="text1"/>
          <w:sz w:val="32"/>
          <w:szCs w:val="32"/>
          <w:lang w:val="en-US" w:eastAsia="zh-CN"/>
          <w14:textFill>
            <w14:solidFill>
              <w14:schemeClr w14:val="tx1"/>
            </w14:solidFill>
          </w14:textFill>
        </w:rPr>
        <w:t>5</w:t>
      </w:r>
      <w:r>
        <w:rPr>
          <w:rFonts w:ascii="仿宋_GB2312" w:hAnsi="宋体" w:eastAsia="仿宋_GB2312" w:cs="仿宋_GB2312"/>
          <w:color w:val="000000" w:themeColor="text1"/>
          <w:sz w:val="32"/>
          <w:szCs w:val="32"/>
          <w14:textFill>
            <w14:solidFill>
              <w14:schemeClr w14:val="tx1"/>
            </w14:solidFill>
          </w14:textFill>
        </w:rPr>
        <w:t>年</w:t>
      </w:r>
      <w:r>
        <w:rPr>
          <w:rFonts w:hint="eastAsia" w:ascii="仿宋_GB2312" w:hAnsi="宋体" w:eastAsia="仿宋_GB2312" w:cs="仿宋_GB2312"/>
          <w:color w:val="000000" w:themeColor="text1"/>
          <w:sz w:val="32"/>
          <w:szCs w:val="32"/>
          <w14:textFill>
            <w14:solidFill>
              <w14:schemeClr w14:val="tx1"/>
            </w14:solidFill>
          </w14:textFill>
        </w:rPr>
        <w:t>全年接到市人大常委会交办的人大代表建议办理工作0件，</w:t>
      </w:r>
      <w:r>
        <w:rPr>
          <w:rFonts w:hint="eastAsia" w:ascii="仿宋_GB2312" w:hAnsi="宋体" w:eastAsia="仿宋_GB2312" w:cs="仿宋_GB2312"/>
          <w:color w:val="000000" w:themeColor="text1"/>
          <w:spacing w:val="0"/>
          <w:sz w:val="31"/>
          <w:szCs w:val="31"/>
          <w:shd w:val="clear" w:fill="FFFFFF"/>
          <w14:textFill>
            <w14:solidFill>
              <w14:schemeClr w14:val="tx1"/>
            </w14:solidFill>
          </w14:textFill>
        </w:rPr>
        <w:t>收到市政协会议提案</w:t>
      </w:r>
      <w:r>
        <w:rPr>
          <w:rFonts w:hint="eastAsia" w:ascii="仿宋_GB2312" w:hAnsi="宋体" w:eastAsia="仿宋_GB2312" w:cs="仿宋_GB2312"/>
          <w:color w:val="000000" w:themeColor="text1"/>
          <w:spacing w:val="0"/>
          <w:sz w:val="31"/>
          <w:szCs w:val="31"/>
          <w:shd w:val="clear" w:fill="FFFFFF"/>
          <w:lang w:val="en-US" w:eastAsia="zh-CN"/>
          <w14:textFill>
            <w14:solidFill>
              <w14:schemeClr w14:val="tx1"/>
            </w14:solidFill>
          </w14:textFill>
        </w:rPr>
        <w:t>18</w:t>
      </w:r>
      <w:r>
        <w:rPr>
          <w:rFonts w:hint="eastAsia" w:ascii="仿宋_GB2312" w:hAnsi="宋体" w:eastAsia="仿宋_GB2312" w:cs="仿宋_GB2312"/>
          <w:color w:val="000000" w:themeColor="text1"/>
          <w:spacing w:val="0"/>
          <w:sz w:val="31"/>
          <w:szCs w:val="31"/>
          <w:shd w:val="clear" w:fill="FFFFFF"/>
          <w14:textFill>
            <w14:solidFill>
              <w14:schemeClr w14:val="tx1"/>
            </w14:solidFill>
          </w14:textFill>
        </w:rPr>
        <w:t>件</w:t>
      </w:r>
      <w:r>
        <w:rPr>
          <w:rFonts w:hint="eastAsia" w:ascii="仿宋_GB2312" w:hAnsi="宋体" w:eastAsia="仿宋_GB2312" w:cs="仿宋_GB2312"/>
          <w:color w:val="000000" w:themeColor="text1"/>
          <w:spacing w:val="0"/>
          <w:sz w:val="31"/>
          <w:szCs w:val="31"/>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其中，党政综合办公室、党政综合办公室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lang w:eastAsia="zh-CN"/>
          <w14:textFill>
            <w14:solidFill>
              <w14:schemeClr w14:val="tx1"/>
            </w14:solidFill>
          </w14:textFill>
        </w:rPr>
        <w:t>政法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32"/>
          <w:lang w:eastAsia="zh-CN"/>
          <w14:textFill>
            <w14:solidFill>
              <w14:schemeClr w14:val="tx1"/>
            </w14:solidFill>
          </w14:textFill>
        </w:rPr>
        <w:t>、经济发展局、投资促进局、国土住建局、综合执法局、生态环境分局、消防大队分别接办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1件、社会事务综合服务中心接办8件、交警大队接办2件</w:t>
      </w:r>
      <w:r>
        <w:rPr>
          <w:rFonts w:hint="eastAsia" w:ascii="仿宋_GB2312" w:hAnsi="宋体" w:eastAsia="仿宋_GB2312" w:cs="仿宋_GB2312"/>
          <w:color w:val="000000" w:themeColor="text1"/>
          <w:spacing w:val="0"/>
          <w:sz w:val="31"/>
          <w:szCs w:val="31"/>
          <w:shd w:val="clear" w:fill="FFFFFF"/>
          <w:lang w:eastAsia="zh-CN"/>
          <w14:textFill>
            <w14:solidFill>
              <w14:schemeClr w14:val="tx1"/>
            </w14:solidFill>
          </w14:textFill>
        </w:rPr>
        <w:t>）</w:t>
      </w:r>
      <w:r>
        <w:rPr>
          <w:rFonts w:hint="eastAsia" w:ascii="仿宋_GB2312" w:hAnsi="宋体" w:eastAsia="仿宋_GB2312" w:cs="仿宋_GB2312"/>
          <w:color w:val="000000" w:themeColor="text1"/>
          <w:spacing w:val="0"/>
          <w:sz w:val="31"/>
          <w:szCs w:val="31"/>
          <w:shd w:val="clear" w:fill="FFFFFF"/>
          <w14:textFill>
            <w14:solidFill>
              <w14:schemeClr w14:val="tx1"/>
            </w14:solidFill>
          </w14:textFill>
        </w:rPr>
        <w:t>，均已在规定时限内答复完毕，</w:t>
      </w:r>
      <w:r>
        <w:rPr>
          <w:rFonts w:hint="eastAsia" w:ascii="仿宋_GB2312" w:hAnsi="宋体" w:eastAsia="仿宋_GB2312" w:cs="仿宋_GB2312"/>
          <w:color w:val="000000" w:themeColor="text1"/>
          <w:sz w:val="31"/>
          <w:szCs w:val="31"/>
          <w14:textFill>
            <w14:solidFill>
              <w14:schemeClr w14:val="tx1"/>
            </w14:solidFill>
          </w14:textFill>
        </w:rPr>
        <w:t>办复率100%。</w:t>
      </w:r>
    </w:p>
    <w:p w14:paraId="721834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本行政机关年度政务公开工作创新情况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全面提升政策解读质量与效果，我</w:t>
      </w: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采取以下措施：</w:t>
      </w: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从群众实际需求出发，精准定位政策解读方向，在</w:t>
      </w: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网站</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首页“产业发展”板块新增政策解读应用场景，</w:t>
      </w:r>
      <w:r>
        <w:rPr>
          <w:rFonts w:hint="eastAsia" w:ascii="仿宋_GB2312" w:hAnsi="仿宋_GB2312" w:eastAsia="仿宋_GB2312" w:cs="仿宋_GB2312"/>
          <w:i w:val="0"/>
          <w:iCs w:val="0"/>
          <w:caps w:val="0"/>
          <w:color w:val="000000" w:themeColor="text1"/>
          <w:spacing w:val="0"/>
          <w:sz w:val="32"/>
          <w:szCs w:val="32"/>
          <w:u w:val="none"/>
          <w:lang w:eastAsia="zh-CN"/>
          <w14:textFill>
            <w14:solidFill>
              <w14:schemeClr w14:val="tx1"/>
            </w14:solidFill>
          </w14:textFill>
        </w:rPr>
        <w:t>让</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群众轻松理解、清晰掌握、有效运用复杂政策；</w:t>
      </w: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主动学习先进地市做法，结合本地实际优化工作模式，提升政策解读的标准化水平；</w:t>
      </w:r>
      <w:r>
        <w:rPr>
          <w:rFonts w:hint="eastAsia" w:ascii="仿宋_GB2312" w:hAnsi="仿宋_GB2312" w:eastAsia="仿宋_GB2312" w:cs="仿宋_GB2312"/>
          <w:b/>
          <w:bCs/>
          <w:i w:val="0"/>
          <w:iCs w:val="0"/>
          <w:caps w:val="0"/>
          <w:color w:val="000000" w:themeColor="text1"/>
          <w:spacing w:val="0"/>
          <w:sz w:val="32"/>
          <w:szCs w:val="32"/>
          <w:u w:val="none"/>
          <w14:textFill>
            <w14:solidFill>
              <w14:schemeClr w14:val="tx1"/>
            </w14:solidFill>
          </w14:textFill>
        </w:rPr>
        <w:t>三是</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聚焦政策核心要点，通过案例解析、数据对比、图表说明等形式，将专业条文转化为通俗易懂的解读内容，增强公众理解。</w:t>
      </w:r>
    </w:p>
    <w:p w14:paraId="6A8276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（五）本行政机关政府信息公开工作年度报告数据统计需要说明的事项。本报告中所列数据的统计时限为202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年1月1日至202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年12月31日。</w:t>
      </w:r>
    </w:p>
    <w:p w14:paraId="19F6E4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（六）本行政机关认为需要报告的其他事项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w:t>
      </w:r>
    </w:p>
    <w:p w14:paraId="3640D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（七）其他有关文件专门要求通过政府信息公开工作年度报告予以报告的事项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5768"/>
    <w:rsid w:val="01C14567"/>
    <w:rsid w:val="04BE14F4"/>
    <w:rsid w:val="0FA85F08"/>
    <w:rsid w:val="10896104"/>
    <w:rsid w:val="15D8055B"/>
    <w:rsid w:val="162C7EF9"/>
    <w:rsid w:val="1671080F"/>
    <w:rsid w:val="17A006E8"/>
    <w:rsid w:val="1B0E4A1F"/>
    <w:rsid w:val="1B7C5E2D"/>
    <w:rsid w:val="1CEB1412"/>
    <w:rsid w:val="1F742D6F"/>
    <w:rsid w:val="20E35CBE"/>
    <w:rsid w:val="228B057A"/>
    <w:rsid w:val="235F1ED6"/>
    <w:rsid w:val="25127FB3"/>
    <w:rsid w:val="26BEFD39"/>
    <w:rsid w:val="26E01966"/>
    <w:rsid w:val="2F490DCB"/>
    <w:rsid w:val="2FEC3FE5"/>
    <w:rsid w:val="313873D4"/>
    <w:rsid w:val="33431B71"/>
    <w:rsid w:val="33DB9D08"/>
    <w:rsid w:val="345143E7"/>
    <w:rsid w:val="35777745"/>
    <w:rsid w:val="35B6FBEF"/>
    <w:rsid w:val="37AFAAD5"/>
    <w:rsid w:val="37EE19B0"/>
    <w:rsid w:val="387A2B70"/>
    <w:rsid w:val="391E1C49"/>
    <w:rsid w:val="3BCF2D3E"/>
    <w:rsid w:val="3D282C7D"/>
    <w:rsid w:val="3DBF1F06"/>
    <w:rsid w:val="3E5EA117"/>
    <w:rsid w:val="3EDBC9E8"/>
    <w:rsid w:val="3F6B3B88"/>
    <w:rsid w:val="3F7BD727"/>
    <w:rsid w:val="3FAE249F"/>
    <w:rsid w:val="3FAE2A98"/>
    <w:rsid w:val="3FB0F915"/>
    <w:rsid w:val="3FCE3493"/>
    <w:rsid w:val="3FEBE9AE"/>
    <w:rsid w:val="3FFD24E0"/>
    <w:rsid w:val="424262E2"/>
    <w:rsid w:val="44746C5F"/>
    <w:rsid w:val="477F6E16"/>
    <w:rsid w:val="47ED60F0"/>
    <w:rsid w:val="49FD499C"/>
    <w:rsid w:val="4BDFB0B4"/>
    <w:rsid w:val="4C0C4717"/>
    <w:rsid w:val="509203FA"/>
    <w:rsid w:val="512CA761"/>
    <w:rsid w:val="54FD577C"/>
    <w:rsid w:val="553276FE"/>
    <w:rsid w:val="55BD0103"/>
    <w:rsid w:val="55DF5606"/>
    <w:rsid w:val="567D789D"/>
    <w:rsid w:val="56C6275B"/>
    <w:rsid w:val="56CF59E9"/>
    <w:rsid w:val="577BB9D7"/>
    <w:rsid w:val="59DE5053"/>
    <w:rsid w:val="5BE66BEB"/>
    <w:rsid w:val="5BE67F37"/>
    <w:rsid w:val="5BF7B7C1"/>
    <w:rsid w:val="5C2C666D"/>
    <w:rsid w:val="5DF7D706"/>
    <w:rsid w:val="5DFD0A12"/>
    <w:rsid w:val="5FFB30AD"/>
    <w:rsid w:val="629954CD"/>
    <w:rsid w:val="63ABA8EF"/>
    <w:rsid w:val="63BBA218"/>
    <w:rsid w:val="654978D2"/>
    <w:rsid w:val="66114E5D"/>
    <w:rsid w:val="67FF7323"/>
    <w:rsid w:val="68F81CDA"/>
    <w:rsid w:val="6BB050E4"/>
    <w:rsid w:val="6D6FBB08"/>
    <w:rsid w:val="6E9879FD"/>
    <w:rsid w:val="6EB0EB0F"/>
    <w:rsid w:val="6EB54141"/>
    <w:rsid w:val="6EFD36FC"/>
    <w:rsid w:val="6F4F6E80"/>
    <w:rsid w:val="6FBCFF8A"/>
    <w:rsid w:val="70358403"/>
    <w:rsid w:val="71B1670A"/>
    <w:rsid w:val="72354580"/>
    <w:rsid w:val="726E24EF"/>
    <w:rsid w:val="72DD69A1"/>
    <w:rsid w:val="75FF1847"/>
    <w:rsid w:val="763F14CF"/>
    <w:rsid w:val="777E03E3"/>
    <w:rsid w:val="77B7A09C"/>
    <w:rsid w:val="77F7CA3C"/>
    <w:rsid w:val="77FB7B96"/>
    <w:rsid w:val="79156B43"/>
    <w:rsid w:val="79FFE1D4"/>
    <w:rsid w:val="7A570902"/>
    <w:rsid w:val="7B102CAB"/>
    <w:rsid w:val="7BC64E6D"/>
    <w:rsid w:val="7D97C8C8"/>
    <w:rsid w:val="7DB97350"/>
    <w:rsid w:val="7DFF669C"/>
    <w:rsid w:val="7DFFD19A"/>
    <w:rsid w:val="7EBEAFF9"/>
    <w:rsid w:val="7ED5EA3D"/>
    <w:rsid w:val="7EF78A45"/>
    <w:rsid w:val="7EFF1F11"/>
    <w:rsid w:val="7EFF2F3A"/>
    <w:rsid w:val="7EFFD976"/>
    <w:rsid w:val="7F26A27B"/>
    <w:rsid w:val="7F47CE59"/>
    <w:rsid w:val="7F4F385B"/>
    <w:rsid w:val="7F6B121D"/>
    <w:rsid w:val="7F7D67CC"/>
    <w:rsid w:val="7FA97924"/>
    <w:rsid w:val="7FB9D1EA"/>
    <w:rsid w:val="7FBAB440"/>
    <w:rsid w:val="7FC76964"/>
    <w:rsid w:val="7FE1D446"/>
    <w:rsid w:val="7FF339F4"/>
    <w:rsid w:val="7FF7536A"/>
    <w:rsid w:val="7FFD0924"/>
    <w:rsid w:val="87BF21A4"/>
    <w:rsid w:val="8FFE00BA"/>
    <w:rsid w:val="99D6E0B7"/>
    <w:rsid w:val="A7F1191C"/>
    <w:rsid w:val="B5FF1CFC"/>
    <w:rsid w:val="B7DB5008"/>
    <w:rsid w:val="BADF7904"/>
    <w:rsid w:val="BAF6DE40"/>
    <w:rsid w:val="BBB9BEF2"/>
    <w:rsid w:val="BDEF6D2A"/>
    <w:rsid w:val="BEF3C084"/>
    <w:rsid w:val="BFDF2CA4"/>
    <w:rsid w:val="C77D6E3B"/>
    <w:rsid w:val="C7DF8A53"/>
    <w:rsid w:val="CE7F9C36"/>
    <w:rsid w:val="CEE770BC"/>
    <w:rsid w:val="CFBF610B"/>
    <w:rsid w:val="D777C102"/>
    <w:rsid w:val="D9FCCEAE"/>
    <w:rsid w:val="DD1F0961"/>
    <w:rsid w:val="DEFDC9AD"/>
    <w:rsid w:val="DF77F484"/>
    <w:rsid w:val="DFB9E2AF"/>
    <w:rsid w:val="DFFB8676"/>
    <w:rsid w:val="E1FE6AB9"/>
    <w:rsid w:val="E3F9EA24"/>
    <w:rsid w:val="E7FF8AE0"/>
    <w:rsid w:val="EAEF964E"/>
    <w:rsid w:val="EB5F49E7"/>
    <w:rsid w:val="EBEFEE5E"/>
    <w:rsid w:val="EEED2B6B"/>
    <w:rsid w:val="EFA36833"/>
    <w:rsid w:val="EFCF4C96"/>
    <w:rsid w:val="F1B1ECC9"/>
    <w:rsid w:val="F2F7BB97"/>
    <w:rsid w:val="F3BF26C5"/>
    <w:rsid w:val="F3BF447A"/>
    <w:rsid w:val="F4FB25E6"/>
    <w:rsid w:val="F5BBB38C"/>
    <w:rsid w:val="F6FFE934"/>
    <w:rsid w:val="F77F9752"/>
    <w:rsid w:val="F7FFD7CD"/>
    <w:rsid w:val="F858763A"/>
    <w:rsid w:val="FAFF84B0"/>
    <w:rsid w:val="FBF43207"/>
    <w:rsid w:val="FD391AB9"/>
    <w:rsid w:val="FD6F1CD5"/>
    <w:rsid w:val="FDEE2122"/>
    <w:rsid w:val="FEAFEBD5"/>
    <w:rsid w:val="FEB90610"/>
    <w:rsid w:val="FEBF748F"/>
    <w:rsid w:val="FEBFD810"/>
    <w:rsid w:val="FEFF7F76"/>
    <w:rsid w:val="FFAD1727"/>
    <w:rsid w:val="FFDE0ABE"/>
    <w:rsid w:val="FFE67662"/>
    <w:rsid w:val="FFEF6774"/>
    <w:rsid w:val="FFEFA64F"/>
    <w:rsid w:val="FFFB6535"/>
    <w:rsid w:val="FFFDB22D"/>
    <w:rsid w:val="FFFF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eastAsia="宋体" w:cs="Calibri"/>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0"/>
    <w:pPr>
      <w:spacing w:line="660" w:lineRule="exact"/>
      <w:ind w:firstLine="705"/>
    </w:pPr>
    <w:rPr>
      <w:rFonts w:ascii="仿宋_GB2312" w:eastAsia="仿宋_GB2312"/>
      <w:color w:val="000000"/>
      <w:sz w:val="36"/>
      <w:szCs w:val="36"/>
    </w:rPr>
  </w:style>
  <w:style w:type="paragraph" w:styleId="4">
    <w:name w:val="Normal (Web)"/>
    <w:basedOn w:val="1"/>
    <w:qFormat/>
    <w:uiPriority w:val="0"/>
    <w:pPr>
      <w:spacing w:before="100" w:beforeAutospacing="1" w:after="100" w:afterAutospacing="1" w:line="315"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2161</Words>
  <Characters>2279</Characters>
  <Lines>0</Lines>
  <Paragraphs>0</Paragraphs>
  <TotalTime>28</TotalTime>
  <ScaleCrop>false</ScaleCrop>
  <LinksUpToDate>false</LinksUpToDate>
  <CharactersWithSpaces>2279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2025-01-24T10:46:00Z</dcterms:created>
  <dc:creator>Administrator</dc:creator>
  <cp:lastModifiedBy>user</cp:lastModifiedBy>
  <cp:lastPrinted>2026-02-11T10:09:00Z</cp:lastPrinted>
  <dcterms:modified xsi:type="dcterms:W3CDTF">2026-02-11T15:40:25Z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eyJoZGlkIjoiM2U0NDUzNjg0YjI3NGU4ZjBmOWM1ODA0NDFiNjY5MDgifQ==</vt:lpwstr>
  </property>
  <property fmtid="{D5CDD505-2E9C-101B-9397-08002B2CF9AE}" pid="4" name="ICV">
    <vt:lpwstr>4F7C79CE2156AEE97D3489692B805F3C_43</vt:lpwstr>
  </property>
</Properties>
</file>