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A6EC">
      <w:pPr>
        <w:widowControl/>
        <w:spacing w:line="580" w:lineRule="exact"/>
        <w:jc w:val="center"/>
        <w:rPr>
          <w:rFonts w:eastAsia="方正小标宋简体"/>
          <w:kern w:val="0"/>
          <w:sz w:val="44"/>
          <w:szCs w:val="44"/>
        </w:rPr>
      </w:pPr>
      <w:r>
        <w:rPr>
          <w:rFonts w:hint="eastAsia" w:eastAsia="方正小标宋简体"/>
          <w:kern w:val="0"/>
          <w:sz w:val="44"/>
          <w:szCs w:val="44"/>
        </w:rPr>
        <w:t>枣庄高新区财政金融局202</w:t>
      </w:r>
      <w:r>
        <w:rPr>
          <w:rFonts w:hint="eastAsia" w:eastAsia="方正小标宋简体"/>
          <w:kern w:val="0"/>
          <w:sz w:val="44"/>
          <w:szCs w:val="44"/>
          <w:lang w:val="en-US" w:eastAsia="zh-CN"/>
        </w:rPr>
        <w:t>5</w:t>
      </w:r>
      <w:r>
        <w:rPr>
          <w:rFonts w:hint="eastAsia" w:eastAsia="方正小标宋简体"/>
          <w:kern w:val="0"/>
          <w:sz w:val="44"/>
          <w:szCs w:val="44"/>
        </w:rPr>
        <w:t>年</w:t>
      </w:r>
      <w:r>
        <w:rPr>
          <w:rFonts w:eastAsia="方正小标宋简体"/>
          <w:kern w:val="0"/>
          <w:sz w:val="44"/>
          <w:szCs w:val="44"/>
        </w:rPr>
        <w:t>政府信息</w:t>
      </w:r>
    </w:p>
    <w:p w14:paraId="3E0A2E7A">
      <w:pPr>
        <w:widowControl/>
        <w:spacing w:line="580" w:lineRule="exact"/>
        <w:jc w:val="center"/>
        <w:rPr>
          <w:rFonts w:eastAsia="方正小标宋简体"/>
          <w:kern w:val="0"/>
          <w:sz w:val="44"/>
          <w:szCs w:val="44"/>
        </w:rPr>
      </w:pPr>
      <w:r>
        <w:rPr>
          <w:rFonts w:eastAsia="方正小标宋简体"/>
          <w:kern w:val="0"/>
          <w:sz w:val="44"/>
          <w:szCs w:val="44"/>
        </w:rPr>
        <w:t>公开工作年度报告</w:t>
      </w:r>
    </w:p>
    <w:p w14:paraId="080904A8">
      <w:pPr>
        <w:pStyle w:val="5"/>
        <w:spacing w:after="0" w:line="600" w:lineRule="exact"/>
        <w:ind w:left="0" w:leftChars="0" w:firstLine="640"/>
        <w:rPr>
          <w:rFonts w:ascii="仿宋_GB2312" w:hAnsi="宋体" w:eastAsia="仿宋_GB2312" w:cs="仿宋_GB2312"/>
          <w:color w:val="000000"/>
          <w:sz w:val="32"/>
          <w:szCs w:val="32"/>
          <w:shd w:val="clear" w:color="auto" w:fill="FFFFFF"/>
        </w:rPr>
      </w:pPr>
    </w:p>
    <w:p w14:paraId="7AE5D5D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本报告按照《中华人民共和国政府信息公开条例》（以下简称《条例》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和《山东省政府信息公开办法》（以下简称《办法》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w:t>
      </w:r>
      <w:r>
        <w:rPr>
          <w:rFonts w:hint="eastAsia" w:ascii="仿宋_GB2312" w:hAnsi="宋体" w:eastAsia="仿宋_GB2312" w:cs="仿宋_GB2312"/>
          <w:color w:val="000000"/>
          <w:sz w:val="32"/>
          <w:szCs w:val="32"/>
          <w:shd w:val="clear" w:color="auto" w:fill="FFFFFF"/>
        </w:rPr>
        <w:t>，由枣庄高新区</w:t>
      </w:r>
      <w:r>
        <w:rPr>
          <w:rFonts w:hint="eastAsia" w:ascii="仿宋_GB2312" w:hAnsi="宋体" w:eastAsia="仿宋_GB2312" w:cs="仿宋_GB2312"/>
          <w:color w:val="000000"/>
          <w:sz w:val="32"/>
          <w:szCs w:val="32"/>
          <w:shd w:val="clear" w:color="auto" w:fill="FFFFFF"/>
          <w:lang w:eastAsia="zh-CN"/>
        </w:rPr>
        <w:t>财政金融局</w:t>
      </w:r>
      <w:r>
        <w:rPr>
          <w:rFonts w:hint="eastAsia" w:ascii="仿宋_GB2312" w:hAnsi="宋体" w:eastAsia="仿宋_GB2312" w:cs="仿宋_GB2312"/>
          <w:color w:val="000000"/>
          <w:sz w:val="32"/>
          <w:szCs w:val="32"/>
          <w:shd w:val="clear" w:color="auto" w:fill="FFFFFF"/>
        </w:rPr>
        <w:t>编制。</w:t>
      </w:r>
      <w:r>
        <w:rPr>
          <w:rFonts w:hint="eastAsia" w:ascii="仿宋_GB2312" w:hAnsi="仿宋_GB2312" w:eastAsia="仿宋_GB2312" w:cs="仿宋_GB2312"/>
          <w:sz w:val="32"/>
          <w:szCs w:val="32"/>
        </w:rPr>
        <w:t>全文内容包括总体情况、主动公开政府信息情况、收到和处理政府信息公开申请情况、政府信息公开行政复议和行政诉讼情况、存在的主要问题及改进情况、其他需要报告的事项六个部分。报告中所列数据的统计期限为</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年1月1日至12月31日。如对本报告有任何疑问，请联系</w:t>
      </w:r>
      <w:r>
        <w:rPr>
          <w:rFonts w:hint="eastAsia" w:ascii="仿宋_GB2312" w:hAnsi="仿宋_GB2312" w:eastAsia="仿宋_GB2312" w:cs="仿宋_GB2312"/>
          <w:sz w:val="32"/>
          <w:szCs w:val="32"/>
          <w:lang w:val="en-US" w:eastAsia="zh-CN"/>
        </w:rPr>
        <w:t>枣庄高新区财政金融局</w:t>
      </w:r>
      <w:r>
        <w:rPr>
          <w:rFonts w:hint="eastAsia" w:ascii="仿宋_GB2312" w:hAnsi="仿宋_GB2312" w:eastAsia="仿宋_GB2312" w:cs="仿宋_GB2312"/>
          <w:sz w:val="32"/>
          <w:szCs w:val="32"/>
        </w:rPr>
        <w:t>（地址：山东省枣庄市光明西路1699号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电话：0632-8690</w:t>
      </w:r>
      <w:r>
        <w:rPr>
          <w:rFonts w:hint="eastAsia" w:ascii="仿宋_GB2312" w:hAnsi="仿宋_GB2312" w:eastAsia="仿宋_GB2312" w:cs="仿宋_GB2312"/>
          <w:sz w:val="32"/>
          <w:szCs w:val="32"/>
          <w:lang w:val="en-US" w:eastAsia="zh-CN"/>
        </w:rPr>
        <w:t>966</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gxqczjrj@163.com；官网链接：http://www.zzctp.gov.cn/）。</w:t>
      </w:r>
    </w:p>
    <w:p w14:paraId="0A6712CF">
      <w:pPr>
        <w:pStyle w:val="5"/>
        <w:spacing w:after="0" w:line="60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rPr>
        <w:t>一、总体情况</w:t>
      </w:r>
    </w:p>
    <w:p w14:paraId="6EBF996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年，枣庄高新区财政金融局</w:t>
      </w:r>
      <w:r>
        <w:rPr>
          <w:rFonts w:hint="eastAsia" w:ascii="仿宋_GB2312" w:hAnsi="仿宋_GB2312" w:eastAsia="仿宋_GB2312" w:cs="仿宋_GB2312"/>
          <w:sz w:val="32"/>
          <w:szCs w:val="32"/>
          <w:highlight w:val="none"/>
          <w:lang w:val="en-US" w:eastAsia="zh-CN"/>
        </w:rPr>
        <w:t>认真贯彻落实《中华人民共和国政府信息公开条例》，严格按照区党工委、管委会的坚强领导和区政务公开办关于政务公开工作的有关要求，不断加强机制和制度建设，确保政府信息全面、及时、准确公开，提高工作的透明度和公信力。</w:t>
      </w:r>
    </w:p>
    <w:p w14:paraId="389F2385">
      <w:pPr>
        <w:spacing w:line="60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（一）主动公开</w:t>
      </w:r>
      <w:r>
        <w:rPr>
          <w:rFonts w:hint="eastAsia" w:ascii="楷体" w:hAnsi="楷体" w:eastAsia="楷体" w:cs="楷体"/>
          <w:b w:val="0"/>
          <w:bCs w:val="0"/>
          <w:sz w:val="32"/>
          <w:szCs w:val="32"/>
          <w:lang w:eastAsia="zh-CN"/>
        </w:rPr>
        <w:t>工作</w:t>
      </w:r>
      <w:r>
        <w:rPr>
          <w:rFonts w:hint="eastAsia" w:ascii="楷体" w:hAnsi="楷体" w:eastAsia="楷体" w:cs="楷体"/>
          <w:b w:val="0"/>
          <w:bCs w:val="0"/>
          <w:sz w:val="32"/>
          <w:szCs w:val="32"/>
        </w:rPr>
        <w:t>情况</w:t>
      </w:r>
    </w:p>
    <w:p w14:paraId="2E6C48B6">
      <w:pPr>
        <w:spacing w:line="600" w:lineRule="exact"/>
        <w:ind w:firstLine="640" w:firstLineChars="200"/>
        <w:rPr>
          <w:rFonts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5</w:t>
      </w:r>
      <w:r>
        <w:rPr>
          <w:rFonts w:hint="eastAsia" w:ascii="仿宋_GB2312" w:hAnsi="宋体" w:eastAsia="仿宋_GB2312" w:cs="仿宋_GB2312"/>
          <w:i w:val="0"/>
          <w:iCs w:val="0"/>
          <w:caps w:val="0"/>
          <w:color w:val="000000"/>
          <w:spacing w:val="0"/>
          <w:sz w:val="32"/>
          <w:szCs w:val="32"/>
          <w:shd w:val="clear" w:fill="FFFFFF"/>
        </w:rPr>
        <w:t>年，我局通过公开网站稿件</w:t>
      </w:r>
      <w:r>
        <w:rPr>
          <w:rFonts w:hint="eastAsia" w:ascii="仿宋_GB2312" w:hAnsi="宋体" w:eastAsia="仿宋_GB2312" w:cs="仿宋_GB2312"/>
          <w:i w:val="0"/>
          <w:iCs w:val="0"/>
          <w:caps w:val="0"/>
          <w:color w:val="000000"/>
          <w:spacing w:val="0"/>
          <w:sz w:val="32"/>
          <w:szCs w:val="32"/>
          <w:shd w:val="clear" w:fill="FFFFFF"/>
          <w:lang w:val="en-US" w:eastAsia="zh-CN"/>
        </w:rPr>
        <w:t>276</w:t>
      </w:r>
      <w:r>
        <w:rPr>
          <w:rFonts w:hint="eastAsia" w:ascii="仿宋_GB2312" w:hAnsi="宋体" w:eastAsia="仿宋_GB2312" w:cs="仿宋_GB2312"/>
          <w:i w:val="0"/>
          <w:iCs w:val="0"/>
          <w:caps w:val="0"/>
          <w:color w:val="000000"/>
          <w:spacing w:val="0"/>
          <w:sz w:val="32"/>
          <w:szCs w:val="32"/>
          <w:shd w:val="clear" w:fill="FFFFFF"/>
        </w:rPr>
        <w:t>篇，</w:t>
      </w:r>
      <w:r>
        <w:rPr>
          <w:rFonts w:hint="eastAsia" w:ascii="仿宋_GB2312" w:hAnsi="宋体" w:eastAsia="仿宋_GB2312" w:cs="仿宋_GB2312"/>
          <w:i w:val="0"/>
          <w:iCs w:val="0"/>
          <w:caps w:val="0"/>
          <w:color w:val="000000"/>
          <w:spacing w:val="0"/>
          <w:sz w:val="32"/>
          <w:szCs w:val="32"/>
          <w:shd w:val="clear" w:fill="FFFFFF"/>
          <w:lang w:eastAsia="zh-CN"/>
        </w:rPr>
        <w:t>包括</w:t>
      </w:r>
      <w:r>
        <w:rPr>
          <w:rFonts w:ascii="仿宋_GB2312" w:hAnsi="宋体" w:eastAsia="仿宋_GB2312" w:cs="仿宋_GB2312"/>
          <w:i w:val="0"/>
          <w:iCs w:val="0"/>
          <w:caps w:val="0"/>
          <w:color w:val="000000"/>
          <w:spacing w:val="0"/>
          <w:sz w:val="32"/>
          <w:szCs w:val="32"/>
          <w:shd w:val="clear" w:fill="FFFFFF"/>
        </w:rPr>
        <w:t>会议公开</w:t>
      </w:r>
      <w:r>
        <w:rPr>
          <w:rFonts w:hint="eastAsia" w:ascii="仿宋_GB2312" w:hAnsi="宋体" w:eastAsia="仿宋_GB2312" w:cs="仿宋_GB2312"/>
          <w:i w:val="0"/>
          <w:iCs w:val="0"/>
          <w:caps w:val="0"/>
          <w:color w:val="000000"/>
          <w:spacing w:val="0"/>
          <w:sz w:val="32"/>
          <w:szCs w:val="32"/>
          <w:shd w:val="clear" w:fill="FFFFFF"/>
          <w:lang w:eastAsia="zh-CN"/>
        </w:rPr>
        <w:t>及解读</w:t>
      </w:r>
      <w:r>
        <w:rPr>
          <w:rFonts w:hint="eastAsia" w:ascii="仿宋_GB2312" w:hAnsi="宋体" w:eastAsia="仿宋_GB2312" w:cs="仿宋_GB2312"/>
          <w:i w:val="0"/>
          <w:iCs w:val="0"/>
          <w:caps w:val="0"/>
          <w:color w:val="000000"/>
          <w:spacing w:val="0"/>
          <w:sz w:val="32"/>
          <w:szCs w:val="32"/>
          <w:shd w:val="clear" w:fill="FFFFFF"/>
          <w:lang w:val="en-US" w:eastAsia="zh-CN"/>
        </w:rPr>
        <w:t>24篇</w:t>
      </w:r>
      <w:r>
        <w:rPr>
          <w:rFonts w:hint="eastAsia" w:ascii="仿宋_GB2312" w:hAnsi="宋体" w:eastAsia="仿宋_GB2312" w:cs="仿宋_GB2312"/>
          <w:i w:val="0"/>
          <w:iCs w:val="0"/>
          <w:caps w:val="0"/>
          <w:color w:val="000000"/>
          <w:spacing w:val="0"/>
          <w:sz w:val="32"/>
          <w:szCs w:val="32"/>
          <w:shd w:val="clear" w:fill="FFFFFF"/>
          <w:lang w:eastAsia="zh-CN"/>
        </w:rPr>
        <w:t>、部门信息</w:t>
      </w:r>
      <w:r>
        <w:rPr>
          <w:rFonts w:hint="eastAsia" w:ascii="仿宋_GB2312" w:hAnsi="宋体" w:eastAsia="仿宋_GB2312" w:cs="仿宋_GB2312"/>
          <w:i w:val="0"/>
          <w:iCs w:val="0"/>
          <w:caps w:val="0"/>
          <w:color w:val="000000"/>
          <w:spacing w:val="0"/>
          <w:sz w:val="32"/>
          <w:szCs w:val="32"/>
          <w:shd w:val="clear" w:fill="FFFFFF"/>
          <w:lang w:val="en-US" w:eastAsia="zh-CN"/>
        </w:rPr>
        <w:t>252篇</w:t>
      </w:r>
      <w:r>
        <w:rPr>
          <w:rFonts w:hint="eastAsia" w:ascii="仿宋_GB2312" w:hAnsi="仿宋_GB2312" w:eastAsia="仿宋_GB2312" w:cs="仿宋_GB2312"/>
          <w:kern w:val="2"/>
          <w:sz w:val="32"/>
          <w:szCs w:val="32"/>
          <w:highlight w:val="none"/>
          <w:lang w:val="en-US" w:eastAsia="zh-CN" w:bidi="ar-SA"/>
        </w:rPr>
        <w:t>等各方面信息。</w:t>
      </w:r>
    </w:p>
    <w:p w14:paraId="2719B208">
      <w:pPr>
        <w:pStyle w:val="5"/>
        <w:spacing w:after="0" w:line="600" w:lineRule="exact"/>
        <w:ind w:left="0" w:leftChars="0" w:firstLine="0" w:firstLineChars="0"/>
        <w:jc w:val="center"/>
        <w:rPr>
          <w:rFonts w:hint="eastAsia" w:ascii="仿宋_GB2312" w:hAnsi="仿宋_GB2312" w:eastAsia="仿宋_GB2312" w:cs="仿宋_GB2312"/>
          <w:sz w:val="32"/>
          <w:szCs w:val="32"/>
        </w:rPr>
      </w:pPr>
    </w:p>
    <w:p w14:paraId="7EE77AA1">
      <w:pPr>
        <w:pStyle w:val="5"/>
        <w:spacing w:after="0" w:line="600" w:lineRule="exact"/>
        <w:ind w:left="0" w:leftChars="0" w:firstLine="0" w:firstLineChars="0"/>
        <w:jc w:val="center"/>
      </w:pPr>
      <w:r>
        <w:rPr>
          <w:rFonts w:hint="eastAsia" w:ascii="仿宋_GB2312" w:hAnsi="仿宋_GB2312" w:eastAsia="仿宋_GB2312" w:cs="仿宋_GB2312"/>
          <w:sz w:val="32"/>
          <w:szCs w:val="32"/>
        </w:rPr>
        <w:t>政府信息主动公开稿件数量对比图</w:t>
      </w:r>
    </w:p>
    <w:p w14:paraId="6B670E2E">
      <w:pPr>
        <w:spacing w:line="60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drawing>
          <wp:anchor distT="0" distB="0" distL="114300" distR="114300" simplePos="0" relativeHeight="251660288" behindDoc="1" locked="0" layoutInCell="1" allowOverlap="1">
            <wp:simplePos x="0" y="0"/>
            <wp:positionH relativeFrom="column">
              <wp:posOffset>205740</wp:posOffset>
            </wp:positionH>
            <wp:positionV relativeFrom="paragraph">
              <wp:posOffset>23495</wp:posOffset>
            </wp:positionV>
            <wp:extent cx="5269865" cy="2933065"/>
            <wp:effectExtent l="0" t="0" r="6985" b="635"/>
            <wp:wrapNone/>
            <wp:docPr id="4" name="图片 4" descr="4752a303dcc17b058cb40ea317e92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752a303dcc17b058cb40ea317e92ce0"/>
                    <pic:cNvPicPr>
                      <a:picLocks noChangeAspect="1"/>
                    </pic:cNvPicPr>
                  </pic:nvPicPr>
                  <pic:blipFill>
                    <a:blip r:embed="rId4"/>
                    <a:stretch>
                      <a:fillRect/>
                    </a:stretch>
                  </pic:blipFill>
                  <pic:spPr>
                    <a:xfrm>
                      <a:off x="0" y="0"/>
                      <a:ext cx="5269865" cy="2933065"/>
                    </a:xfrm>
                    <a:prstGeom prst="rect">
                      <a:avLst/>
                    </a:prstGeom>
                  </pic:spPr>
                </pic:pic>
              </a:graphicData>
            </a:graphic>
          </wp:anchor>
        </w:drawing>
      </w:r>
      <w:r>
        <w:rPr>
          <w:rFonts w:hint="eastAsia" w:ascii="楷体" w:hAnsi="楷体" w:eastAsia="楷体" w:cs="楷体"/>
          <w:b/>
          <w:bCs/>
          <w:sz w:val="32"/>
          <w:szCs w:val="32"/>
          <w:lang w:eastAsia="zh-CN"/>
        </w:rPr>
        <w:drawing>
          <wp:anchor distT="0" distB="0" distL="114300" distR="114300" simplePos="0" relativeHeight="251659264" behindDoc="1" locked="0" layoutInCell="1" allowOverlap="1">
            <wp:simplePos x="0" y="0"/>
            <wp:positionH relativeFrom="column">
              <wp:posOffset>258445</wp:posOffset>
            </wp:positionH>
            <wp:positionV relativeFrom="paragraph">
              <wp:posOffset>38100</wp:posOffset>
            </wp:positionV>
            <wp:extent cx="4838700" cy="2752725"/>
            <wp:effectExtent l="0" t="0" r="0" b="9525"/>
            <wp:wrapTight wrapText="bothSides">
              <wp:wrapPolygon>
                <wp:start x="0" y="0"/>
                <wp:lineTo x="0" y="21525"/>
                <wp:lineTo x="21515" y="21525"/>
                <wp:lineTo x="21515" y="0"/>
                <wp:lineTo x="0" y="0"/>
              </wp:wrapPolygon>
            </wp:wrapTight>
            <wp:docPr id="3" name="图片 3" descr="8c7e17e657bb933ba9a25d626bfa7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c7e17e657bb933ba9a25d626bfa7dd2"/>
                    <pic:cNvPicPr>
                      <a:picLocks noChangeAspect="1"/>
                    </pic:cNvPicPr>
                  </pic:nvPicPr>
                  <pic:blipFill>
                    <a:blip r:embed="rId5"/>
                    <a:stretch>
                      <a:fillRect/>
                    </a:stretch>
                  </pic:blipFill>
                  <pic:spPr>
                    <a:xfrm>
                      <a:off x="0" y="0"/>
                      <a:ext cx="4838700" cy="2752725"/>
                    </a:xfrm>
                    <a:prstGeom prst="rect">
                      <a:avLst/>
                    </a:prstGeom>
                  </pic:spPr>
                </pic:pic>
              </a:graphicData>
            </a:graphic>
          </wp:anchor>
        </w:drawing>
      </w:r>
    </w:p>
    <w:p w14:paraId="1AB35911">
      <w:pPr>
        <w:spacing w:line="600" w:lineRule="exact"/>
        <w:ind w:firstLine="643" w:firstLineChars="200"/>
        <w:rPr>
          <w:rFonts w:hint="eastAsia" w:ascii="楷体" w:hAnsi="楷体" w:eastAsia="楷体" w:cs="楷体"/>
          <w:b/>
          <w:bCs/>
          <w:sz w:val="32"/>
          <w:szCs w:val="32"/>
          <w:lang w:eastAsia="zh-CN"/>
        </w:rPr>
      </w:pPr>
    </w:p>
    <w:p w14:paraId="324604E4">
      <w:pPr>
        <w:spacing w:line="600" w:lineRule="exact"/>
        <w:rPr>
          <w:rFonts w:ascii="楷体" w:hAnsi="楷体" w:eastAsia="楷体" w:cs="楷体"/>
          <w:b/>
          <w:bCs/>
          <w:sz w:val="32"/>
          <w:szCs w:val="32"/>
        </w:rPr>
      </w:pPr>
    </w:p>
    <w:p w14:paraId="3B2D0C66">
      <w:pPr>
        <w:pStyle w:val="5"/>
        <w:ind w:firstLine="643"/>
        <w:rPr>
          <w:rFonts w:ascii="楷体" w:hAnsi="楷体" w:eastAsia="楷体" w:cs="楷体"/>
          <w:b/>
          <w:bCs/>
          <w:sz w:val="32"/>
          <w:szCs w:val="32"/>
        </w:rPr>
      </w:pPr>
    </w:p>
    <w:p w14:paraId="0C0DB2BE"/>
    <w:p w14:paraId="40CA967F">
      <w:pPr>
        <w:spacing w:line="600" w:lineRule="exact"/>
        <w:ind w:firstLine="643" w:firstLineChars="200"/>
        <w:rPr>
          <w:rFonts w:ascii="楷体" w:hAnsi="楷体" w:eastAsia="楷体" w:cs="楷体"/>
          <w:b/>
          <w:bCs/>
          <w:sz w:val="32"/>
          <w:szCs w:val="32"/>
        </w:rPr>
      </w:pPr>
    </w:p>
    <w:p w14:paraId="469C14F2">
      <w:pPr>
        <w:spacing w:line="600" w:lineRule="exact"/>
        <w:ind w:firstLine="643" w:firstLineChars="200"/>
        <w:rPr>
          <w:rFonts w:ascii="楷体" w:hAnsi="楷体" w:eastAsia="楷体" w:cs="楷体"/>
          <w:b/>
          <w:bCs/>
          <w:sz w:val="32"/>
          <w:szCs w:val="32"/>
        </w:rPr>
      </w:pPr>
    </w:p>
    <w:p w14:paraId="5E599E99">
      <w:pPr>
        <w:spacing w:line="600" w:lineRule="exact"/>
        <w:rPr>
          <w:rFonts w:ascii="楷体" w:hAnsi="楷体" w:eastAsia="楷体" w:cs="楷体"/>
          <w:b/>
          <w:bCs/>
          <w:sz w:val="32"/>
          <w:szCs w:val="32"/>
        </w:rPr>
      </w:pPr>
    </w:p>
    <w:p w14:paraId="6DD43108">
      <w:pPr>
        <w:numPr>
          <w:ilvl w:val="0"/>
          <w:numId w:val="0"/>
        </w:num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 xml:space="preserve">依申请公开政府信息工作情况 </w:t>
      </w:r>
    </w:p>
    <w:p w14:paraId="41166667">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1.收到和处理政府信息公开申请情况</w:t>
      </w:r>
    </w:p>
    <w:p w14:paraId="069B7500">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枣庄高新区财政金融局认真执行《中华人民共和国政府信息公开条例》，严格规范依申请公开办理流程，加强政府信息依申请公开事项办理标准化规范化建设。2025年处理依申请公开0件。接收申请数量较2024年持平。</w:t>
      </w:r>
      <w:bookmarkStart w:id="10" w:name="_GoBack"/>
      <w:bookmarkEnd w:id="10"/>
    </w:p>
    <w:p w14:paraId="59537001">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74BB1D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2.政府信息公开行政复议、行政诉讼情况</w:t>
      </w:r>
    </w:p>
    <w:p w14:paraId="5AC286E1">
      <w:pPr>
        <w:ind w:firstLine="640" w:firstLineChars="200"/>
        <w:rPr>
          <w:rFonts w:hint="eastAsia"/>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年，因政府信息公开被申请行政复议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件，因公民、法人和其他组织认为行政机关政府信息公开工作具体行政行为侵犯其合法权益，提起行政诉讼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05A4C17F">
      <w:pPr>
        <w:numPr>
          <w:ilvl w:val="0"/>
          <w:numId w:val="0"/>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（三）政府信息管理情况</w:t>
      </w:r>
    </w:p>
    <w:p w14:paraId="78BD651E">
      <w:pPr>
        <w:pStyle w:val="4"/>
        <w:widowControl/>
        <w:shd w:val="clear" w:color="auto" w:fill="FFFFFF"/>
        <w:spacing w:line="576" w:lineRule="atLeast"/>
        <w:ind w:firstLine="634"/>
        <w:rPr>
          <w:rFonts w:hint="eastAsia" w:ascii="楷体" w:hAnsi="楷体" w:eastAsia="仿宋_GB2312" w:cs="楷体"/>
          <w:b/>
          <w:bCs/>
          <w:sz w:val="32"/>
          <w:szCs w:val="32"/>
          <w:lang w:eastAsia="zh-CN"/>
        </w:rPr>
      </w:pPr>
      <w:r>
        <w:rPr>
          <w:rFonts w:ascii="仿宋_GB2312" w:hAnsi="微软雅黑" w:eastAsia="仿宋_GB2312" w:cs="仿宋_GB2312"/>
          <w:b/>
          <w:bCs/>
          <w:color w:val="000000"/>
          <w:sz w:val="32"/>
          <w:szCs w:val="32"/>
          <w:shd w:val="clear" w:color="auto" w:fill="FFFFFF"/>
        </w:rPr>
        <w:t>一是</w:t>
      </w:r>
      <w:r>
        <w:rPr>
          <w:rFonts w:hint="eastAsia" w:ascii="仿宋_GB2312" w:hAnsi="微软雅黑" w:eastAsia="仿宋_GB2312" w:cs="仿宋_GB2312"/>
          <w:b/>
          <w:bCs/>
          <w:color w:val="000000"/>
          <w:sz w:val="32"/>
          <w:szCs w:val="32"/>
          <w:shd w:val="clear" w:color="auto" w:fill="FFFFFF"/>
          <w:lang w:val="en-US" w:eastAsia="zh-CN"/>
        </w:rPr>
        <w:t>继续夯实基础、强化监督。</w:t>
      </w:r>
      <w:r>
        <w:rPr>
          <w:rFonts w:hint="eastAsia" w:ascii="仿宋_GB2312" w:hAnsi="微软雅黑" w:eastAsia="仿宋_GB2312" w:cs="仿宋_GB2312"/>
          <w:b w:val="0"/>
          <w:bCs w:val="0"/>
          <w:color w:val="000000"/>
          <w:sz w:val="32"/>
          <w:szCs w:val="32"/>
          <w:shd w:val="clear" w:color="auto" w:fill="FFFFFF"/>
          <w:lang w:val="en-US" w:eastAsia="zh-CN"/>
        </w:rPr>
        <w:t>严格按照管委要求，建立健全政府信息制作、公开等制度，对政府信息动态及时更新，做到专人规范管理。</w:t>
      </w:r>
      <w:r>
        <w:rPr>
          <w:rFonts w:hint="eastAsia" w:ascii="仿宋_GB2312" w:hAnsi="微软雅黑" w:eastAsia="仿宋_GB2312" w:cs="仿宋_GB2312"/>
          <w:b/>
          <w:bCs/>
          <w:color w:val="000000"/>
          <w:sz w:val="32"/>
          <w:szCs w:val="32"/>
          <w:shd w:val="clear" w:color="auto" w:fill="FFFFFF"/>
        </w:rPr>
        <w:t>二是严格</w:t>
      </w:r>
      <w:r>
        <w:rPr>
          <w:rFonts w:hint="eastAsia" w:ascii="仿宋_GB2312" w:hAnsi="微软雅黑" w:eastAsia="仿宋_GB2312" w:cs="仿宋_GB2312"/>
          <w:b/>
          <w:bCs/>
          <w:color w:val="000000"/>
          <w:sz w:val="32"/>
          <w:szCs w:val="32"/>
          <w:shd w:val="clear" w:color="auto" w:fill="FFFFFF"/>
          <w:lang w:eastAsia="zh-CN"/>
        </w:rPr>
        <w:t>落实信息保密规定</w:t>
      </w:r>
      <w:r>
        <w:rPr>
          <w:rFonts w:hint="eastAsia" w:ascii="仿宋_GB2312" w:hAnsi="微软雅黑" w:eastAsia="仿宋_GB2312" w:cs="仿宋_GB2312"/>
          <w:b/>
          <w:bCs/>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严格遵循“未经保密审查的信息不得公开、未经解密并准予公开的信息不得公开、公开与保密界限不清的信息不得公开”的原则，严格做好政府信息公开保密审查</w:t>
      </w:r>
      <w:r>
        <w:rPr>
          <w:rFonts w:hint="eastAsia" w:ascii="仿宋_GB2312" w:hAnsi="微软雅黑" w:eastAsia="仿宋_GB2312" w:cs="仿宋_GB2312"/>
          <w:color w:val="000000"/>
          <w:sz w:val="32"/>
          <w:szCs w:val="32"/>
          <w:shd w:val="clear" w:color="auto" w:fill="FFFFFF"/>
          <w:lang w:eastAsia="zh-CN"/>
        </w:rPr>
        <w:t>。</w:t>
      </w:r>
    </w:p>
    <w:p w14:paraId="14680E87">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（四）平台建设情况</w:t>
      </w:r>
    </w:p>
    <w:p w14:paraId="57A664EE">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一是严格按照政府信息公开目录，依托</w:t>
      </w:r>
      <w:r>
        <w:rPr>
          <w:rFonts w:ascii="仿宋_GB2312" w:hAnsi="宋体" w:eastAsia="仿宋_GB2312" w:cs="仿宋_GB2312"/>
          <w:color w:val="000000"/>
          <w:sz w:val="31"/>
          <w:szCs w:val="31"/>
          <w:shd w:val="clear" w:color="auto" w:fill="FFFFFF"/>
        </w:rPr>
        <w:t>高新区管委会门户网站</w:t>
      </w:r>
      <w:r>
        <w:rPr>
          <w:rFonts w:hint="eastAsia" w:ascii="仿宋_GB2312" w:hAnsi="仿宋_GB2312" w:eastAsia="仿宋_GB2312" w:cs="仿宋_GB2312"/>
          <w:color w:val="000000"/>
          <w:sz w:val="32"/>
          <w:szCs w:val="32"/>
          <w:shd w:val="clear" w:color="auto" w:fill="FFFFFF"/>
        </w:rPr>
        <w:t>，</w:t>
      </w:r>
      <w:r>
        <w:rPr>
          <w:rFonts w:ascii="仿宋_GB2312" w:hAnsi="宋体" w:eastAsia="仿宋_GB2312" w:cs="仿宋_GB2312"/>
          <w:color w:val="000000"/>
          <w:sz w:val="31"/>
          <w:szCs w:val="31"/>
          <w:shd w:val="clear" w:color="auto" w:fill="FFFFFF"/>
        </w:rPr>
        <w:t>在财政金融局各子栏目分门别类、准确、规范地发布主动公开各类财政相关信息</w:t>
      </w:r>
      <w:r>
        <w:rPr>
          <w:rFonts w:hint="eastAsia" w:ascii="仿宋_GB2312" w:hAnsi="宋体" w:eastAsia="仿宋_GB2312" w:cs="仿宋_GB2312"/>
          <w:color w:val="000000"/>
          <w:sz w:val="31"/>
          <w:szCs w:val="31"/>
          <w:shd w:val="clear" w:color="auto" w:fill="FFFFFF"/>
        </w:rPr>
        <w:t>，</w:t>
      </w:r>
      <w:r>
        <w:rPr>
          <w:rFonts w:hint="eastAsia" w:ascii="仿宋_GB2312" w:hAnsi="仿宋_GB2312" w:eastAsia="仿宋_GB2312" w:cs="仿宋_GB2312"/>
          <w:color w:val="000000"/>
          <w:sz w:val="32"/>
          <w:szCs w:val="32"/>
          <w:shd w:val="clear" w:color="auto" w:fill="FFFFFF"/>
        </w:rPr>
        <w:t>确保信息公开时效。二是依托“山东省政府采购信息公开平台”和“枣庄市公共资源交易网”，督促各预算单位主动公开政府采购需求公开、采购公告、结果公告、合同公开、验收公开等有关信息，提高政府采购透明度。</w:t>
      </w:r>
    </w:p>
    <w:p w14:paraId="49ED8ADD">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（五）监督保障情况</w:t>
      </w:r>
    </w:p>
    <w:p w14:paraId="68A74137">
      <w:pPr>
        <w:pStyle w:val="5"/>
        <w:spacing w:after="0" w:line="600" w:lineRule="exact"/>
        <w:ind w:left="0" w:leftChars="0" w:firstLine="640"/>
        <w:rPr>
          <w:rFonts w:hint="eastAsia"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color w:val="000000"/>
          <w:kern w:val="2"/>
          <w:sz w:val="32"/>
          <w:szCs w:val="32"/>
          <w:shd w:val="clear" w:color="auto" w:fill="FFFFFF"/>
          <w:lang w:val="en-US" w:eastAsia="zh-CN"/>
        </w:rPr>
        <w:t>按照管委会要求，对公开信息依法依规进行审查，由各分管领导对内容进行审核，充分发挥统筹协调作用，确保公开信息准确规范。对本单位的重要政务舆情、媒体关注、网民留言等问题，认真研判处置，借助媒体、网站等渠道发布准确信息，认真处理答复，做到“网上听民声、线下办实事”。</w:t>
      </w:r>
    </w:p>
    <w:p w14:paraId="58A57CE2">
      <w:pPr>
        <w:pStyle w:val="5"/>
        <w:spacing w:after="0" w:line="600" w:lineRule="exact"/>
        <w:ind w:left="0" w:leftChars="0" w:firstLine="64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6"/>
        <w:tblW w:w="8824" w:type="dxa"/>
        <w:tblInd w:w="0" w:type="dxa"/>
        <w:tblLayout w:type="fixed"/>
        <w:tblCellMar>
          <w:top w:w="0" w:type="dxa"/>
          <w:left w:w="108" w:type="dxa"/>
          <w:bottom w:w="0" w:type="dxa"/>
          <w:right w:w="108" w:type="dxa"/>
        </w:tblCellMar>
      </w:tblPr>
      <w:tblGrid>
        <w:gridCol w:w="3207"/>
        <w:gridCol w:w="1400"/>
        <w:gridCol w:w="1449"/>
        <w:gridCol w:w="2768"/>
      </w:tblGrid>
      <w:tr w14:paraId="5CB828D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73B441D">
            <w:pPr>
              <w:jc w:val="center"/>
              <w:rPr>
                <w:rFonts w:ascii="黑体" w:hAnsi="黑体" w:eastAsia="黑体" w:cs="宋体"/>
                <w:color w:val="000000"/>
                <w:kern w:val="0"/>
                <w:szCs w:val="21"/>
              </w:rPr>
            </w:pPr>
            <w:r>
              <w:rPr>
                <w:rFonts w:hint="eastAsia" w:ascii="黑体" w:hAnsi="黑体" w:eastAsia="黑体" w:cs="黑体"/>
                <w:sz w:val="24"/>
                <w:szCs w:val="24"/>
              </w:rPr>
              <w:t>第二十条第（一）项</w:t>
            </w:r>
          </w:p>
        </w:tc>
      </w:tr>
      <w:tr w14:paraId="0ABC6B13">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5533BD9A">
            <w:pPr>
              <w:jc w:val="center"/>
              <w:rPr>
                <w:rFonts w:ascii="仿宋_GB2312" w:hAnsi="宋体" w:eastAsia="仿宋_GB2312" w:cs="宋体"/>
                <w:color w:val="000000"/>
                <w:kern w:val="0"/>
                <w:szCs w:val="21"/>
              </w:rPr>
            </w:pPr>
            <w:r>
              <w:rPr>
                <w:rFonts w:hint="eastAsia" w:ascii="黑体" w:hAnsi="黑体" w:eastAsia="黑体" w:cs="黑体"/>
                <w:sz w:val="24"/>
                <w:szCs w:val="24"/>
              </w:rPr>
              <w:t>信息内容</w:t>
            </w:r>
          </w:p>
        </w:tc>
        <w:tc>
          <w:tcPr>
            <w:tcW w:w="1400" w:type="dxa"/>
            <w:tcBorders>
              <w:top w:val="nil"/>
              <w:left w:val="nil"/>
              <w:bottom w:val="single" w:color="auto" w:sz="8" w:space="0"/>
              <w:right w:val="single" w:color="auto" w:sz="8" w:space="0"/>
            </w:tcBorders>
            <w:vAlign w:val="center"/>
          </w:tcPr>
          <w:p w14:paraId="60A300A5">
            <w:pPr>
              <w:jc w:val="center"/>
              <w:rPr>
                <w:rFonts w:hint="eastAsia" w:ascii="黑体" w:hAnsi="黑体" w:eastAsia="黑体" w:cs="黑体"/>
                <w:sz w:val="24"/>
                <w:szCs w:val="24"/>
              </w:rPr>
            </w:pPr>
            <w:r>
              <w:rPr>
                <w:rFonts w:hint="eastAsia" w:ascii="黑体" w:hAnsi="黑体" w:eastAsia="黑体" w:cs="黑体"/>
                <w:sz w:val="24"/>
                <w:szCs w:val="24"/>
              </w:rPr>
              <w:t>本年制</w:t>
            </w:r>
          </w:p>
          <w:p w14:paraId="205DC01A">
            <w:pPr>
              <w:jc w:val="center"/>
              <w:rPr>
                <w:rFonts w:ascii="仿宋_GB2312" w:hAnsi="宋体" w:eastAsia="仿宋_GB2312" w:cs="宋体"/>
                <w:color w:val="000000"/>
                <w:kern w:val="0"/>
                <w:szCs w:val="21"/>
              </w:rPr>
            </w:pPr>
            <w:r>
              <w:rPr>
                <w:rFonts w:hint="eastAsia" w:ascii="黑体" w:hAnsi="黑体" w:eastAsia="黑体" w:cs="黑体"/>
                <w:sz w:val="24"/>
                <w:szCs w:val="24"/>
              </w:rPr>
              <w:t>发件数</w:t>
            </w:r>
          </w:p>
        </w:tc>
        <w:tc>
          <w:tcPr>
            <w:tcW w:w="1449" w:type="dxa"/>
            <w:tcBorders>
              <w:top w:val="nil"/>
              <w:left w:val="nil"/>
              <w:bottom w:val="single" w:color="auto" w:sz="8" w:space="0"/>
              <w:right w:val="single" w:color="auto" w:sz="8" w:space="0"/>
            </w:tcBorders>
            <w:vAlign w:val="center"/>
          </w:tcPr>
          <w:p w14:paraId="1DABA248">
            <w:pPr>
              <w:jc w:val="center"/>
              <w:rPr>
                <w:rFonts w:hint="eastAsia" w:ascii="黑体" w:hAnsi="黑体" w:eastAsia="黑体" w:cs="黑体"/>
                <w:sz w:val="24"/>
                <w:szCs w:val="24"/>
              </w:rPr>
            </w:pPr>
            <w:r>
              <w:rPr>
                <w:rFonts w:hint="eastAsia" w:ascii="黑体" w:hAnsi="黑体" w:eastAsia="黑体" w:cs="黑体"/>
                <w:sz w:val="24"/>
                <w:szCs w:val="24"/>
              </w:rPr>
              <w:t>本年废</w:t>
            </w:r>
          </w:p>
          <w:p w14:paraId="6320871C">
            <w:pPr>
              <w:jc w:val="center"/>
              <w:rPr>
                <w:rFonts w:ascii="仿宋_GB2312" w:hAnsi="宋体" w:eastAsia="仿宋_GB2312" w:cs="宋体"/>
                <w:color w:val="000000"/>
                <w:kern w:val="0"/>
                <w:szCs w:val="21"/>
              </w:rPr>
            </w:pPr>
            <w:r>
              <w:rPr>
                <w:rFonts w:hint="eastAsia" w:ascii="黑体" w:hAnsi="黑体" w:eastAsia="黑体" w:cs="黑体"/>
                <w:sz w:val="24"/>
                <w:szCs w:val="24"/>
              </w:rPr>
              <w:t>止件数</w:t>
            </w:r>
          </w:p>
        </w:tc>
        <w:tc>
          <w:tcPr>
            <w:tcW w:w="2768" w:type="dxa"/>
            <w:tcBorders>
              <w:top w:val="nil"/>
              <w:left w:val="nil"/>
              <w:bottom w:val="single" w:color="auto" w:sz="8" w:space="0"/>
              <w:right w:val="single" w:color="auto" w:sz="8" w:space="0"/>
            </w:tcBorders>
            <w:vAlign w:val="center"/>
          </w:tcPr>
          <w:p w14:paraId="6B394CBF">
            <w:pPr>
              <w:jc w:val="center"/>
              <w:rPr>
                <w:rFonts w:ascii="仿宋_GB2312" w:hAnsi="宋体" w:eastAsia="仿宋_GB2312" w:cs="宋体"/>
                <w:color w:val="000000"/>
                <w:kern w:val="0"/>
                <w:szCs w:val="21"/>
              </w:rPr>
            </w:pPr>
            <w:r>
              <w:rPr>
                <w:rFonts w:hint="eastAsia" w:ascii="黑体" w:hAnsi="黑体" w:eastAsia="黑体" w:cs="黑体"/>
                <w:sz w:val="24"/>
                <w:szCs w:val="24"/>
              </w:rPr>
              <w:t>现行有效件数</w:t>
            </w:r>
          </w:p>
        </w:tc>
      </w:tr>
      <w:tr w14:paraId="5F866C2E">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40CA4F64">
            <w:pPr>
              <w:jc w:val="center"/>
              <w:rPr>
                <w:rFonts w:ascii="仿宋_GB2312" w:hAnsi="宋体" w:eastAsia="仿宋_GB2312" w:cs="宋体"/>
                <w:color w:val="000000"/>
                <w:kern w:val="0"/>
                <w:szCs w:val="21"/>
              </w:rPr>
            </w:pPr>
            <w:r>
              <w:rPr>
                <w:rFonts w:hint="eastAsia" w:ascii="黑体" w:hAnsi="黑体" w:eastAsia="黑体" w:cs="黑体"/>
                <w:sz w:val="24"/>
                <w:szCs w:val="24"/>
                <w:lang w:val="en-US" w:eastAsia="zh-CN"/>
              </w:rPr>
              <w:t>规章</w:t>
            </w:r>
          </w:p>
        </w:tc>
        <w:tc>
          <w:tcPr>
            <w:tcW w:w="1400" w:type="dxa"/>
            <w:tcBorders>
              <w:top w:val="nil"/>
              <w:left w:val="nil"/>
              <w:bottom w:val="single" w:color="auto" w:sz="8" w:space="0"/>
              <w:right w:val="single" w:color="auto" w:sz="8" w:space="0"/>
            </w:tcBorders>
            <w:vAlign w:val="center"/>
          </w:tcPr>
          <w:p w14:paraId="3C73CBA8">
            <w:pPr>
              <w:jc w:val="center"/>
              <w:rPr>
                <w:rFonts w:ascii="仿宋_GB2312" w:hAnsi="宋体" w:eastAsia="仿宋_GB2312" w:cs="宋体"/>
                <w:color w:val="000000"/>
                <w:kern w:val="0"/>
                <w:szCs w:val="21"/>
              </w:rPr>
            </w:pPr>
            <w:r>
              <w:rPr>
                <w:rFonts w:hint="eastAsia" w:ascii="仿宋_GB2312" w:hAnsi="仿宋_GB2312" w:eastAsia="仿宋_GB2312" w:cs="仿宋_GB2312"/>
                <w:sz w:val="24"/>
                <w:szCs w:val="24"/>
                <w:lang w:val="en-US" w:eastAsia="zh-CN"/>
              </w:rPr>
              <w:t>0</w:t>
            </w:r>
          </w:p>
        </w:tc>
        <w:tc>
          <w:tcPr>
            <w:tcW w:w="1449" w:type="dxa"/>
            <w:tcBorders>
              <w:top w:val="nil"/>
              <w:left w:val="nil"/>
              <w:bottom w:val="single" w:color="auto" w:sz="8" w:space="0"/>
              <w:right w:val="single" w:color="auto" w:sz="8" w:space="0"/>
            </w:tcBorders>
            <w:vAlign w:val="center"/>
          </w:tcPr>
          <w:p w14:paraId="7F265876">
            <w:pPr>
              <w:jc w:val="center"/>
              <w:rPr>
                <w:rFonts w:ascii="仿宋_GB2312" w:hAnsi="宋体" w:eastAsia="仿宋_GB2312" w:cs="宋体"/>
                <w:color w:val="000000"/>
                <w:kern w:val="0"/>
                <w:szCs w:val="21"/>
              </w:rPr>
            </w:pPr>
            <w:r>
              <w:rPr>
                <w:rFonts w:hint="eastAsia" w:ascii="仿宋_GB2312" w:hAnsi="仿宋_GB2312" w:eastAsia="仿宋_GB2312" w:cs="仿宋_GB2312"/>
                <w:sz w:val="24"/>
                <w:szCs w:val="24"/>
                <w:lang w:val="en-US" w:eastAsia="zh-CN"/>
              </w:rPr>
              <w:t>0</w:t>
            </w:r>
          </w:p>
        </w:tc>
        <w:tc>
          <w:tcPr>
            <w:tcW w:w="2768" w:type="dxa"/>
            <w:tcBorders>
              <w:top w:val="nil"/>
              <w:left w:val="nil"/>
              <w:bottom w:val="single" w:color="auto" w:sz="8" w:space="0"/>
              <w:right w:val="single" w:color="auto" w:sz="8" w:space="0"/>
            </w:tcBorders>
            <w:vAlign w:val="center"/>
          </w:tcPr>
          <w:p w14:paraId="2FA3A547">
            <w:pPr>
              <w:jc w:val="center"/>
              <w:rPr>
                <w:rFonts w:ascii="仿宋_GB2312" w:hAnsi="Calibri" w:eastAsia="仿宋_GB2312" w:cs="Calibri"/>
                <w:color w:val="000000"/>
                <w:kern w:val="0"/>
                <w:szCs w:val="21"/>
              </w:rPr>
            </w:pPr>
            <w:r>
              <w:rPr>
                <w:rFonts w:hint="eastAsia" w:ascii="仿宋_GB2312" w:hAnsi="仿宋_GB2312" w:eastAsia="仿宋_GB2312" w:cs="仿宋_GB2312"/>
                <w:sz w:val="24"/>
                <w:szCs w:val="24"/>
                <w:lang w:val="en-US" w:eastAsia="zh-CN"/>
              </w:rPr>
              <w:t>0</w:t>
            </w:r>
          </w:p>
        </w:tc>
      </w:tr>
      <w:tr w14:paraId="66296141">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16EAD754">
            <w:pPr>
              <w:jc w:val="center"/>
              <w:rPr>
                <w:rFonts w:ascii="仿宋_GB2312" w:hAnsi="宋体" w:eastAsia="仿宋_GB2312" w:cs="宋体"/>
                <w:color w:val="000000"/>
                <w:kern w:val="0"/>
                <w:szCs w:val="21"/>
              </w:rPr>
            </w:pPr>
            <w:r>
              <w:rPr>
                <w:rFonts w:hint="eastAsia" w:ascii="黑体" w:hAnsi="黑体" w:eastAsia="黑体" w:cs="黑体"/>
                <w:sz w:val="24"/>
                <w:szCs w:val="24"/>
              </w:rPr>
              <w:t>行政规范性文件</w:t>
            </w:r>
          </w:p>
        </w:tc>
        <w:tc>
          <w:tcPr>
            <w:tcW w:w="1400" w:type="dxa"/>
            <w:tcBorders>
              <w:top w:val="nil"/>
              <w:left w:val="nil"/>
              <w:bottom w:val="single" w:color="auto" w:sz="8" w:space="0"/>
              <w:right w:val="single" w:color="auto" w:sz="8" w:space="0"/>
            </w:tcBorders>
            <w:vAlign w:val="center"/>
          </w:tcPr>
          <w:p w14:paraId="43CFAC72">
            <w:pPr>
              <w:jc w:val="center"/>
              <w:rPr>
                <w:rFonts w:ascii="仿宋_GB2312" w:hAnsi="宋体" w:eastAsia="仿宋_GB2312" w:cs="宋体"/>
                <w:color w:val="000000"/>
                <w:kern w:val="0"/>
                <w:szCs w:val="21"/>
              </w:rPr>
            </w:pPr>
            <w:r>
              <w:rPr>
                <w:rFonts w:hint="eastAsia" w:ascii="仿宋_GB2312" w:hAnsi="仿宋_GB2312" w:eastAsia="仿宋_GB2312" w:cs="仿宋_GB2312"/>
                <w:sz w:val="24"/>
                <w:szCs w:val="24"/>
                <w:lang w:val="en-US" w:eastAsia="zh-CN"/>
              </w:rPr>
              <w:t>0</w:t>
            </w:r>
          </w:p>
        </w:tc>
        <w:tc>
          <w:tcPr>
            <w:tcW w:w="1449" w:type="dxa"/>
            <w:tcBorders>
              <w:top w:val="nil"/>
              <w:left w:val="nil"/>
              <w:bottom w:val="single" w:color="auto" w:sz="8" w:space="0"/>
              <w:right w:val="single" w:color="auto" w:sz="8" w:space="0"/>
            </w:tcBorders>
            <w:vAlign w:val="center"/>
          </w:tcPr>
          <w:p w14:paraId="2C2AD6D7">
            <w:pPr>
              <w:jc w:val="center"/>
              <w:rPr>
                <w:rFonts w:ascii="仿宋_GB2312" w:hAnsi="宋体" w:eastAsia="仿宋_GB2312" w:cs="宋体"/>
                <w:color w:val="000000"/>
                <w:kern w:val="0"/>
                <w:szCs w:val="21"/>
              </w:rPr>
            </w:pPr>
            <w:r>
              <w:rPr>
                <w:rFonts w:hint="eastAsia" w:ascii="仿宋_GB2312" w:hAnsi="仿宋_GB2312" w:eastAsia="仿宋_GB2312" w:cs="仿宋_GB2312"/>
                <w:sz w:val="24"/>
                <w:szCs w:val="24"/>
                <w:lang w:val="en-US" w:eastAsia="zh-CN"/>
              </w:rPr>
              <w:t>0</w:t>
            </w:r>
          </w:p>
        </w:tc>
        <w:tc>
          <w:tcPr>
            <w:tcW w:w="2768" w:type="dxa"/>
            <w:tcBorders>
              <w:top w:val="nil"/>
              <w:left w:val="nil"/>
              <w:bottom w:val="single" w:color="auto" w:sz="8" w:space="0"/>
              <w:right w:val="single" w:color="auto" w:sz="8" w:space="0"/>
            </w:tcBorders>
            <w:vAlign w:val="center"/>
          </w:tcPr>
          <w:p w14:paraId="7A880D64">
            <w:pPr>
              <w:jc w:val="center"/>
              <w:rPr>
                <w:rFonts w:ascii="仿宋_GB2312" w:hAnsi="Calibri" w:eastAsia="仿宋_GB2312" w:cs="Calibri"/>
                <w:color w:val="000000"/>
                <w:kern w:val="0"/>
                <w:szCs w:val="21"/>
              </w:rPr>
            </w:pPr>
            <w:r>
              <w:rPr>
                <w:rFonts w:hint="eastAsia" w:ascii="仿宋_GB2312" w:hAnsi="仿宋_GB2312" w:eastAsia="仿宋_GB2312" w:cs="仿宋_GB2312"/>
                <w:sz w:val="24"/>
                <w:szCs w:val="24"/>
                <w:lang w:val="en-US" w:eastAsia="zh-CN"/>
              </w:rPr>
              <w:t>0</w:t>
            </w:r>
          </w:p>
        </w:tc>
      </w:tr>
      <w:tr w14:paraId="6A25613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4003982">
            <w:pPr>
              <w:jc w:val="center"/>
              <w:rPr>
                <w:rFonts w:ascii="黑体" w:hAnsi="黑体" w:eastAsia="黑体" w:cs="宋体"/>
                <w:color w:val="000000"/>
                <w:kern w:val="0"/>
                <w:szCs w:val="21"/>
              </w:rPr>
            </w:pPr>
            <w:r>
              <w:rPr>
                <w:rFonts w:hint="eastAsia" w:ascii="黑体" w:hAnsi="黑体" w:eastAsia="黑体" w:cs="黑体"/>
                <w:sz w:val="24"/>
                <w:szCs w:val="24"/>
              </w:rPr>
              <w:t>第二十条第（五）项</w:t>
            </w:r>
          </w:p>
        </w:tc>
      </w:tr>
      <w:tr w14:paraId="54ACDE09">
        <w:tblPrEx>
          <w:tblCellMar>
            <w:top w:w="0" w:type="dxa"/>
            <w:left w:w="108" w:type="dxa"/>
            <w:bottom w:w="0" w:type="dxa"/>
            <w:right w:w="108" w:type="dxa"/>
          </w:tblCellMar>
        </w:tblPrEx>
        <w:trPr>
          <w:trHeight w:val="582" w:hRule="atLeast"/>
        </w:trPr>
        <w:tc>
          <w:tcPr>
            <w:tcW w:w="3207" w:type="dxa"/>
            <w:tcBorders>
              <w:top w:val="nil"/>
              <w:left w:val="single" w:color="auto" w:sz="8" w:space="0"/>
              <w:bottom w:val="single" w:color="auto" w:sz="8" w:space="0"/>
              <w:right w:val="single" w:color="auto" w:sz="8" w:space="0"/>
            </w:tcBorders>
            <w:vAlign w:val="center"/>
          </w:tcPr>
          <w:p w14:paraId="5E3F9E64">
            <w:pPr>
              <w:jc w:val="center"/>
              <w:rPr>
                <w:rFonts w:ascii="仿宋_GB2312" w:hAnsi="宋体" w:eastAsia="仿宋_GB2312" w:cs="宋体"/>
                <w:color w:val="000000"/>
                <w:kern w:val="0"/>
                <w:szCs w:val="21"/>
              </w:rPr>
            </w:pPr>
            <w:r>
              <w:rPr>
                <w:rFonts w:hint="eastAsia" w:ascii="黑体" w:hAnsi="黑体" w:eastAsia="黑体" w:cs="黑体"/>
                <w:sz w:val="24"/>
                <w:szCs w:val="24"/>
              </w:rPr>
              <w:t>信息内容</w:t>
            </w:r>
          </w:p>
        </w:tc>
        <w:tc>
          <w:tcPr>
            <w:tcW w:w="5617" w:type="dxa"/>
            <w:gridSpan w:val="3"/>
            <w:tcBorders>
              <w:top w:val="single" w:color="auto" w:sz="8" w:space="0"/>
              <w:left w:val="nil"/>
              <w:bottom w:val="single" w:color="auto" w:sz="8" w:space="0"/>
              <w:right w:val="single" w:color="000000" w:sz="8" w:space="0"/>
            </w:tcBorders>
            <w:vAlign w:val="center"/>
          </w:tcPr>
          <w:p w14:paraId="712535C1">
            <w:pPr>
              <w:jc w:val="center"/>
              <w:rPr>
                <w:rFonts w:ascii="仿宋_GB2312" w:hAnsi="宋体" w:eastAsia="仿宋_GB2312" w:cs="宋体"/>
                <w:color w:val="000000"/>
                <w:kern w:val="0"/>
                <w:szCs w:val="21"/>
              </w:rPr>
            </w:pPr>
            <w:r>
              <w:rPr>
                <w:rFonts w:hint="eastAsia" w:ascii="黑体" w:hAnsi="黑体" w:eastAsia="黑体" w:cs="黑体"/>
                <w:sz w:val="24"/>
                <w:szCs w:val="24"/>
              </w:rPr>
              <w:t>本年处理决定数量</w:t>
            </w:r>
          </w:p>
        </w:tc>
      </w:tr>
      <w:tr w14:paraId="23B80A31">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43F4BA00">
            <w:pPr>
              <w:jc w:val="center"/>
              <w:rPr>
                <w:rFonts w:ascii="仿宋_GB2312" w:hAnsi="宋体" w:eastAsia="仿宋_GB2312" w:cs="宋体"/>
                <w:color w:val="000000"/>
                <w:kern w:val="0"/>
                <w:szCs w:val="21"/>
              </w:rPr>
            </w:pPr>
            <w:r>
              <w:rPr>
                <w:rFonts w:hint="eastAsia" w:ascii="黑体" w:hAnsi="黑体" w:eastAsia="黑体" w:cs="黑体"/>
                <w:sz w:val="24"/>
                <w:szCs w:val="24"/>
              </w:rPr>
              <w:t>行政许可</w:t>
            </w:r>
          </w:p>
        </w:tc>
        <w:tc>
          <w:tcPr>
            <w:tcW w:w="5617" w:type="dxa"/>
            <w:gridSpan w:val="3"/>
            <w:tcBorders>
              <w:top w:val="single" w:color="auto" w:sz="8" w:space="0"/>
              <w:left w:val="nil"/>
              <w:bottom w:val="single" w:color="auto" w:sz="8" w:space="0"/>
              <w:right w:val="single" w:color="000000" w:sz="8" w:space="0"/>
            </w:tcBorders>
            <w:vAlign w:val="center"/>
          </w:tcPr>
          <w:p w14:paraId="7715CC83">
            <w:pPr>
              <w:jc w:val="center"/>
              <w:rPr>
                <w:rFonts w:ascii="仿宋_GB2312" w:hAnsi="Calibri" w:eastAsia="仿宋_GB2312" w:cs="Calibri"/>
                <w:color w:val="000000"/>
                <w:kern w:val="0"/>
                <w:szCs w:val="21"/>
              </w:rPr>
            </w:pPr>
            <w:r>
              <w:rPr>
                <w:rFonts w:hint="eastAsia" w:ascii="仿宋_GB2312" w:hAnsi="仿宋_GB2312" w:eastAsia="仿宋_GB2312" w:cs="仿宋_GB2312"/>
                <w:sz w:val="24"/>
                <w:szCs w:val="24"/>
                <w:lang w:val="en-US" w:eastAsia="zh-CN"/>
              </w:rPr>
              <w:t>0</w:t>
            </w:r>
          </w:p>
        </w:tc>
      </w:tr>
      <w:tr w14:paraId="564EE11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23A2EB">
            <w:pPr>
              <w:jc w:val="center"/>
              <w:rPr>
                <w:rFonts w:ascii="黑体" w:hAnsi="黑体" w:eastAsia="黑体" w:cs="宋体"/>
                <w:color w:val="000000"/>
                <w:kern w:val="0"/>
                <w:szCs w:val="21"/>
              </w:rPr>
            </w:pPr>
            <w:r>
              <w:rPr>
                <w:rFonts w:hint="eastAsia" w:ascii="黑体" w:hAnsi="黑体" w:eastAsia="黑体" w:cs="黑体"/>
                <w:sz w:val="24"/>
                <w:szCs w:val="24"/>
              </w:rPr>
              <w:t>第二十条第（六）项</w:t>
            </w:r>
          </w:p>
        </w:tc>
      </w:tr>
      <w:tr w14:paraId="66DB274B">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01F3B707">
            <w:pPr>
              <w:jc w:val="center"/>
              <w:rPr>
                <w:rFonts w:ascii="仿宋_GB2312" w:hAnsi="宋体" w:eastAsia="仿宋_GB2312" w:cs="宋体"/>
                <w:color w:val="000000"/>
                <w:kern w:val="0"/>
                <w:szCs w:val="21"/>
              </w:rPr>
            </w:pPr>
            <w:r>
              <w:rPr>
                <w:rFonts w:hint="eastAsia" w:ascii="黑体" w:hAnsi="黑体" w:eastAsia="黑体" w:cs="黑体"/>
                <w:sz w:val="24"/>
                <w:szCs w:val="24"/>
              </w:rPr>
              <w:t>信息内容</w:t>
            </w:r>
          </w:p>
        </w:tc>
        <w:tc>
          <w:tcPr>
            <w:tcW w:w="5617" w:type="dxa"/>
            <w:gridSpan w:val="3"/>
            <w:tcBorders>
              <w:top w:val="single" w:color="auto" w:sz="8" w:space="0"/>
              <w:left w:val="nil"/>
              <w:bottom w:val="single" w:color="auto" w:sz="8" w:space="0"/>
              <w:right w:val="single" w:color="000000" w:sz="8" w:space="0"/>
            </w:tcBorders>
            <w:vAlign w:val="center"/>
          </w:tcPr>
          <w:p w14:paraId="07E4C949">
            <w:pPr>
              <w:jc w:val="center"/>
              <w:rPr>
                <w:rFonts w:ascii="仿宋_GB2312" w:hAnsi="宋体" w:eastAsia="仿宋_GB2312" w:cs="宋体"/>
                <w:color w:val="000000"/>
                <w:kern w:val="0"/>
                <w:szCs w:val="21"/>
              </w:rPr>
            </w:pPr>
            <w:r>
              <w:rPr>
                <w:rFonts w:hint="eastAsia" w:ascii="黑体" w:hAnsi="黑体" w:eastAsia="黑体" w:cs="黑体"/>
                <w:sz w:val="24"/>
                <w:szCs w:val="24"/>
              </w:rPr>
              <w:t>本年处理决定数量</w:t>
            </w:r>
          </w:p>
        </w:tc>
      </w:tr>
      <w:tr w14:paraId="4B2B11A8">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485E5FF1">
            <w:pPr>
              <w:jc w:val="center"/>
              <w:rPr>
                <w:rFonts w:ascii="仿宋_GB2312" w:hAnsi="宋体" w:eastAsia="仿宋_GB2312" w:cs="宋体"/>
                <w:color w:val="000000"/>
                <w:kern w:val="0"/>
                <w:szCs w:val="21"/>
              </w:rPr>
            </w:pPr>
            <w:r>
              <w:rPr>
                <w:rFonts w:hint="eastAsia" w:ascii="黑体" w:hAnsi="黑体" w:eastAsia="黑体" w:cs="黑体"/>
                <w:sz w:val="24"/>
                <w:szCs w:val="24"/>
              </w:rPr>
              <w:t>行政处罚</w:t>
            </w:r>
          </w:p>
        </w:tc>
        <w:tc>
          <w:tcPr>
            <w:tcW w:w="5617" w:type="dxa"/>
            <w:gridSpan w:val="3"/>
            <w:tcBorders>
              <w:top w:val="single" w:color="auto" w:sz="8" w:space="0"/>
              <w:left w:val="nil"/>
              <w:bottom w:val="single" w:color="auto" w:sz="8" w:space="0"/>
              <w:right w:val="single" w:color="000000" w:sz="8" w:space="0"/>
            </w:tcBorders>
            <w:vAlign w:val="center"/>
          </w:tcPr>
          <w:p w14:paraId="5F2ABAAF">
            <w:pPr>
              <w:jc w:val="center"/>
              <w:rPr>
                <w:rFonts w:ascii="仿宋_GB2312" w:hAnsi="宋体" w:eastAsia="仿宋_GB2312" w:cs="宋体"/>
                <w:color w:val="000000"/>
                <w:kern w:val="0"/>
                <w:szCs w:val="21"/>
              </w:rPr>
            </w:pPr>
            <w:r>
              <w:rPr>
                <w:rFonts w:hint="eastAsia" w:ascii="仿宋_GB2312" w:hAnsi="仿宋_GB2312" w:eastAsia="仿宋_GB2312" w:cs="仿宋_GB2312"/>
                <w:sz w:val="24"/>
                <w:szCs w:val="24"/>
                <w:lang w:val="en-US" w:eastAsia="zh-CN"/>
              </w:rPr>
              <w:t>0</w:t>
            </w:r>
          </w:p>
        </w:tc>
      </w:tr>
      <w:tr w14:paraId="707BBF1A">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4EA1A6E3">
            <w:pPr>
              <w:jc w:val="center"/>
              <w:rPr>
                <w:rFonts w:ascii="仿宋_GB2312" w:hAnsi="宋体" w:eastAsia="仿宋_GB2312" w:cs="宋体"/>
                <w:color w:val="000000"/>
                <w:kern w:val="0"/>
                <w:szCs w:val="21"/>
              </w:rPr>
            </w:pPr>
            <w:r>
              <w:rPr>
                <w:rFonts w:hint="eastAsia" w:ascii="黑体" w:hAnsi="黑体" w:eastAsia="黑体" w:cs="黑体"/>
                <w:sz w:val="24"/>
                <w:szCs w:val="24"/>
              </w:rPr>
              <w:t>行政强制</w:t>
            </w:r>
          </w:p>
        </w:tc>
        <w:tc>
          <w:tcPr>
            <w:tcW w:w="5617" w:type="dxa"/>
            <w:gridSpan w:val="3"/>
            <w:tcBorders>
              <w:top w:val="single" w:color="auto" w:sz="8" w:space="0"/>
              <w:left w:val="nil"/>
              <w:bottom w:val="single" w:color="auto" w:sz="8" w:space="0"/>
              <w:right w:val="single" w:color="000000" w:sz="8" w:space="0"/>
            </w:tcBorders>
            <w:vAlign w:val="center"/>
          </w:tcPr>
          <w:p w14:paraId="40C3AF6C">
            <w:pPr>
              <w:jc w:val="center"/>
              <w:rPr>
                <w:rFonts w:ascii="仿宋_GB2312" w:hAnsi="宋体" w:eastAsia="仿宋_GB2312" w:cs="宋体"/>
                <w:color w:val="000000"/>
                <w:kern w:val="0"/>
                <w:szCs w:val="21"/>
              </w:rPr>
            </w:pPr>
            <w:r>
              <w:rPr>
                <w:rFonts w:hint="eastAsia" w:ascii="仿宋_GB2312" w:hAnsi="仿宋_GB2312" w:eastAsia="仿宋_GB2312" w:cs="仿宋_GB2312"/>
                <w:sz w:val="24"/>
                <w:szCs w:val="24"/>
                <w:lang w:val="en-US" w:eastAsia="zh-CN"/>
              </w:rPr>
              <w:t>0</w:t>
            </w:r>
          </w:p>
        </w:tc>
      </w:tr>
      <w:tr w14:paraId="14CDB31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DEEDBA4">
            <w:pPr>
              <w:jc w:val="center"/>
              <w:rPr>
                <w:rFonts w:ascii="黑体" w:hAnsi="黑体" w:eastAsia="黑体" w:cs="宋体"/>
                <w:color w:val="000000"/>
                <w:kern w:val="0"/>
                <w:szCs w:val="21"/>
              </w:rPr>
            </w:pPr>
            <w:r>
              <w:rPr>
                <w:rFonts w:hint="eastAsia" w:ascii="黑体" w:hAnsi="黑体" w:eastAsia="黑体" w:cs="黑体"/>
                <w:sz w:val="24"/>
                <w:szCs w:val="24"/>
              </w:rPr>
              <w:t>第二十条第（八）项</w:t>
            </w:r>
          </w:p>
        </w:tc>
      </w:tr>
      <w:tr w14:paraId="00F729D1">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5323B9D6">
            <w:pPr>
              <w:jc w:val="center"/>
              <w:rPr>
                <w:rFonts w:ascii="仿宋_GB2312" w:hAnsi="宋体" w:eastAsia="仿宋_GB2312" w:cs="宋体"/>
                <w:color w:val="000000"/>
                <w:kern w:val="0"/>
                <w:szCs w:val="21"/>
              </w:rPr>
            </w:pPr>
            <w:r>
              <w:rPr>
                <w:rFonts w:hint="eastAsia" w:ascii="黑体" w:hAnsi="黑体" w:eastAsia="黑体" w:cs="黑体"/>
                <w:sz w:val="24"/>
                <w:szCs w:val="24"/>
              </w:rPr>
              <w:t>信息内容</w:t>
            </w:r>
          </w:p>
        </w:tc>
        <w:tc>
          <w:tcPr>
            <w:tcW w:w="5617" w:type="dxa"/>
            <w:gridSpan w:val="3"/>
            <w:tcBorders>
              <w:top w:val="single" w:color="auto" w:sz="8" w:space="0"/>
              <w:left w:val="nil"/>
              <w:bottom w:val="single" w:color="auto" w:sz="8" w:space="0"/>
              <w:right w:val="single" w:color="000000" w:sz="8" w:space="0"/>
            </w:tcBorders>
            <w:vAlign w:val="center"/>
          </w:tcPr>
          <w:p w14:paraId="59AD6485">
            <w:pPr>
              <w:jc w:val="center"/>
              <w:rPr>
                <w:rFonts w:ascii="仿宋_GB2312" w:hAnsi="宋体" w:eastAsia="仿宋_GB2312" w:cs="宋体"/>
                <w:color w:val="000000"/>
                <w:kern w:val="0"/>
                <w:szCs w:val="21"/>
              </w:rPr>
            </w:pPr>
            <w:r>
              <w:rPr>
                <w:rFonts w:hint="eastAsia" w:ascii="黑体" w:hAnsi="黑体" w:eastAsia="黑体" w:cs="黑体"/>
                <w:sz w:val="24"/>
                <w:szCs w:val="24"/>
              </w:rPr>
              <w:t>本年收费金额（单位：万元）</w:t>
            </w:r>
          </w:p>
        </w:tc>
      </w:tr>
      <w:tr w14:paraId="17C0BEF1">
        <w:tblPrEx>
          <w:tblCellMar>
            <w:top w:w="0" w:type="dxa"/>
            <w:left w:w="108" w:type="dxa"/>
            <w:bottom w:w="0" w:type="dxa"/>
            <w:right w:w="108" w:type="dxa"/>
          </w:tblCellMar>
        </w:tblPrEx>
        <w:trPr>
          <w:trHeight w:val="567" w:hRule="atLeast"/>
        </w:trPr>
        <w:tc>
          <w:tcPr>
            <w:tcW w:w="3207" w:type="dxa"/>
            <w:tcBorders>
              <w:top w:val="nil"/>
              <w:left w:val="single" w:color="auto" w:sz="8" w:space="0"/>
              <w:bottom w:val="single" w:color="auto" w:sz="8" w:space="0"/>
              <w:right w:val="single" w:color="auto" w:sz="8" w:space="0"/>
            </w:tcBorders>
            <w:vAlign w:val="center"/>
          </w:tcPr>
          <w:p w14:paraId="6D1F5D9E">
            <w:pPr>
              <w:jc w:val="center"/>
              <w:rPr>
                <w:rFonts w:ascii="仿宋_GB2312" w:hAnsi="宋体" w:eastAsia="仿宋_GB2312" w:cs="宋体"/>
                <w:color w:val="000000"/>
                <w:kern w:val="0"/>
                <w:szCs w:val="21"/>
              </w:rPr>
            </w:pPr>
            <w:r>
              <w:rPr>
                <w:rFonts w:hint="eastAsia" w:ascii="黑体" w:hAnsi="黑体" w:eastAsia="黑体" w:cs="黑体"/>
                <w:sz w:val="24"/>
                <w:szCs w:val="24"/>
              </w:rPr>
              <w:t>行政事业性收费</w:t>
            </w:r>
          </w:p>
        </w:tc>
        <w:tc>
          <w:tcPr>
            <w:tcW w:w="5617" w:type="dxa"/>
            <w:gridSpan w:val="3"/>
            <w:tcBorders>
              <w:top w:val="single" w:color="auto" w:sz="8" w:space="0"/>
              <w:left w:val="nil"/>
              <w:bottom w:val="single" w:color="auto" w:sz="8" w:space="0"/>
              <w:right w:val="single" w:color="000000" w:sz="8" w:space="0"/>
            </w:tcBorders>
            <w:vAlign w:val="center"/>
          </w:tcPr>
          <w:p w14:paraId="07F75680">
            <w:pPr>
              <w:jc w:val="center"/>
              <w:rPr>
                <w:rFonts w:hint="default" w:ascii="仿宋_GB2312" w:hAnsi="Calibri" w:eastAsia="仿宋_GB2312" w:cs="Calibri"/>
                <w:color w:val="000000"/>
                <w:kern w:val="0"/>
                <w:szCs w:val="21"/>
                <w:lang w:val="en-US" w:eastAsia="zh-CN"/>
              </w:rPr>
            </w:pPr>
            <w:r>
              <w:rPr>
                <w:rFonts w:hint="eastAsia" w:ascii="仿宋_GB2312" w:hAnsi="仿宋_GB2312" w:eastAsia="仿宋_GB2312" w:cs="仿宋_GB2312"/>
                <w:sz w:val="24"/>
                <w:szCs w:val="24"/>
                <w:highlight w:val="none"/>
                <w:lang w:val="en-US" w:eastAsia="zh-CN"/>
              </w:rPr>
              <w:t>294</w:t>
            </w:r>
          </w:p>
        </w:tc>
      </w:tr>
    </w:tbl>
    <w:p w14:paraId="0AB99B34">
      <w:pPr>
        <w:pStyle w:val="5"/>
        <w:spacing w:after="0" w:line="600" w:lineRule="exact"/>
        <w:ind w:left="0" w:leftChars="0" w:firstLine="0" w:firstLineChars="0"/>
        <w:rPr>
          <w:rFonts w:hint="eastAsia" w:ascii="黑体" w:hAnsi="黑体" w:eastAsia="黑体" w:cs="黑体"/>
          <w:sz w:val="32"/>
          <w:szCs w:val="32"/>
        </w:rPr>
      </w:pPr>
    </w:p>
    <w:p w14:paraId="3A8F7B36">
      <w:pPr>
        <w:pStyle w:val="5"/>
        <w:spacing w:after="0" w:line="600" w:lineRule="exact"/>
        <w:ind w:left="0" w:leftChars="0" w:firstLine="0" w:firstLineChars="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28F7B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14:paraId="06866BE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74D20F1">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820" w:type="dxa"/>
            <w:gridSpan w:val="7"/>
            <w:tcMar>
              <w:left w:w="108" w:type="dxa"/>
              <w:right w:w="108" w:type="dxa"/>
            </w:tcMar>
            <w:vAlign w:val="center"/>
          </w:tcPr>
          <w:p w14:paraId="06D98FA0">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0FE37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14:paraId="22657BC6">
            <w:pPr>
              <w:jc w:val="center"/>
              <w:rPr>
                <w:rFonts w:ascii="仿宋_GB2312" w:eastAsia="仿宋_GB2312"/>
                <w:szCs w:val="21"/>
              </w:rPr>
            </w:pPr>
          </w:p>
        </w:tc>
        <w:tc>
          <w:tcPr>
            <w:tcW w:w="829" w:type="dxa"/>
            <w:vMerge w:val="restart"/>
            <w:tcMar>
              <w:left w:w="108" w:type="dxa"/>
              <w:right w:w="108" w:type="dxa"/>
            </w:tcMar>
            <w:vAlign w:val="center"/>
          </w:tcPr>
          <w:p w14:paraId="20A08179">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tcMar>
              <w:left w:w="108" w:type="dxa"/>
              <w:right w:w="108" w:type="dxa"/>
            </w:tcMar>
            <w:vAlign w:val="center"/>
          </w:tcPr>
          <w:p w14:paraId="44A61BB0">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tcMar>
              <w:left w:w="108" w:type="dxa"/>
              <w:right w:w="108" w:type="dxa"/>
            </w:tcMar>
            <w:vAlign w:val="center"/>
          </w:tcPr>
          <w:p w14:paraId="24228983">
            <w:pPr>
              <w:widowControl/>
              <w:jc w:val="center"/>
              <w:rPr>
                <w:rFonts w:ascii="黑体" w:hAnsi="黑体" w:eastAsia="黑体"/>
                <w:szCs w:val="21"/>
              </w:rPr>
            </w:pPr>
            <w:r>
              <w:rPr>
                <w:rFonts w:hint="eastAsia" w:ascii="黑体" w:hAnsi="黑体" w:eastAsia="黑体"/>
                <w:kern w:val="0"/>
                <w:szCs w:val="21"/>
              </w:rPr>
              <w:t>总计</w:t>
            </w:r>
          </w:p>
        </w:tc>
      </w:tr>
      <w:tr w14:paraId="29047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14:paraId="090A9937">
            <w:pPr>
              <w:jc w:val="center"/>
              <w:rPr>
                <w:rFonts w:ascii="仿宋_GB2312" w:eastAsia="仿宋_GB2312"/>
                <w:szCs w:val="21"/>
              </w:rPr>
            </w:pPr>
          </w:p>
        </w:tc>
        <w:tc>
          <w:tcPr>
            <w:tcW w:w="829" w:type="dxa"/>
            <w:vMerge w:val="continue"/>
            <w:tcMar>
              <w:left w:w="108" w:type="dxa"/>
              <w:right w:w="108" w:type="dxa"/>
            </w:tcMar>
            <w:vAlign w:val="center"/>
          </w:tcPr>
          <w:p w14:paraId="4964B3DB">
            <w:pPr>
              <w:jc w:val="center"/>
              <w:rPr>
                <w:rFonts w:ascii="黑体" w:hAnsi="黑体" w:eastAsia="黑体"/>
                <w:szCs w:val="21"/>
              </w:rPr>
            </w:pPr>
          </w:p>
        </w:tc>
        <w:tc>
          <w:tcPr>
            <w:tcW w:w="567" w:type="dxa"/>
            <w:tcMar>
              <w:left w:w="108" w:type="dxa"/>
              <w:right w:w="108" w:type="dxa"/>
            </w:tcMar>
            <w:vAlign w:val="center"/>
          </w:tcPr>
          <w:p w14:paraId="5FE1D7B2">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tcMar>
              <w:left w:w="108" w:type="dxa"/>
              <w:right w:w="108" w:type="dxa"/>
            </w:tcMar>
            <w:vAlign w:val="center"/>
          </w:tcPr>
          <w:p w14:paraId="2EFD5839">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tcMar>
              <w:left w:w="108" w:type="dxa"/>
              <w:right w:w="108" w:type="dxa"/>
            </w:tcMar>
            <w:vAlign w:val="center"/>
          </w:tcPr>
          <w:p w14:paraId="258F2662">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tcMar>
              <w:left w:w="108" w:type="dxa"/>
              <w:right w:w="108" w:type="dxa"/>
            </w:tcMar>
            <w:vAlign w:val="center"/>
          </w:tcPr>
          <w:p w14:paraId="5030702A">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tcMar>
              <w:left w:w="108" w:type="dxa"/>
              <w:right w:w="108" w:type="dxa"/>
            </w:tcMar>
            <w:vAlign w:val="center"/>
          </w:tcPr>
          <w:p w14:paraId="719F66EF">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tcMar>
              <w:left w:w="108" w:type="dxa"/>
              <w:right w:w="108" w:type="dxa"/>
            </w:tcMar>
            <w:vAlign w:val="center"/>
          </w:tcPr>
          <w:p w14:paraId="21526F37">
            <w:pPr>
              <w:jc w:val="center"/>
              <w:rPr>
                <w:rFonts w:ascii="仿宋_GB2312" w:eastAsia="仿宋_GB2312"/>
                <w:szCs w:val="21"/>
              </w:rPr>
            </w:pPr>
          </w:p>
        </w:tc>
      </w:tr>
      <w:tr w14:paraId="6358B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14:paraId="26C13BF8">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tcMar>
              <w:left w:w="108" w:type="dxa"/>
              <w:right w:w="108" w:type="dxa"/>
            </w:tcMar>
            <w:vAlign w:val="center"/>
          </w:tcPr>
          <w:p w14:paraId="64770C3B">
            <w:pPr>
              <w:widowControl/>
              <w:spacing w:after="180"/>
              <w:jc w:val="center"/>
              <w:rPr>
                <w:rFonts w:hint="eastAsia" w:ascii="仿宋_GB2312" w:eastAsia="仿宋_GB2312"/>
                <w:szCs w:val="21"/>
                <w:lang w:eastAsia="zh-CN"/>
              </w:rPr>
            </w:pPr>
            <w:r>
              <w:rPr>
                <w:rFonts w:hint="eastAsia" w:ascii="仿宋_GB2312" w:eastAsia="仿宋_GB2312"/>
                <w:szCs w:val="21"/>
                <w:lang w:val="en-US" w:eastAsia="zh-CN"/>
              </w:rPr>
              <w:t>0</w:t>
            </w:r>
          </w:p>
        </w:tc>
        <w:tc>
          <w:tcPr>
            <w:tcW w:w="567" w:type="dxa"/>
            <w:tcMar>
              <w:left w:w="108" w:type="dxa"/>
              <w:right w:w="108" w:type="dxa"/>
            </w:tcMar>
            <w:vAlign w:val="center"/>
          </w:tcPr>
          <w:p w14:paraId="0CB8E0A8">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1B3F2047">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3FF200F5">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312638C1">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1EBF7F85">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4D31B2F2">
            <w:pPr>
              <w:widowControl/>
              <w:spacing w:after="180"/>
              <w:jc w:val="center"/>
              <w:rPr>
                <w:rFonts w:hint="eastAsia" w:ascii="仿宋_GB2312" w:eastAsia="仿宋_GB2312"/>
                <w:szCs w:val="21"/>
                <w:lang w:eastAsia="zh-CN"/>
              </w:rPr>
            </w:pPr>
            <w:r>
              <w:rPr>
                <w:rFonts w:hint="eastAsia" w:ascii="仿宋_GB2312" w:eastAsia="仿宋_GB2312"/>
                <w:szCs w:val="21"/>
                <w:lang w:val="en-US" w:eastAsia="zh-CN"/>
              </w:rPr>
              <w:t>0</w:t>
            </w:r>
          </w:p>
        </w:tc>
      </w:tr>
      <w:tr w14:paraId="37524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14:paraId="367CA937">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tcMar>
              <w:left w:w="108" w:type="dxa"/>
              <w:right w:w="108" w:type="dxa"/>
            </w:tcMar>
            <w:vAlign w:val="center"/>
          </w:tcPr>
          <w:p w14:paraId="0F34849C">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5559E4E">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CB2C833">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4337DEA4">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6332F79B">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9EAA9E0">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7D17CDD5">
            <w:pPr>
              <w:widowControl/>
              <w:spacing w:after="180"/>
              <w:jc w:val="center"/>
              <w:rPr>
                <w:rFonts w:ascii="仿宋_GB2312" w:eastAsia="仿宋_GB2312"/>
                <w:szCs w:val="21"/>
              </w:rPr>
            </w:pPr>
            <w:r>
              <w:rPr>
                <w:rFonts w:hint="eastAsia" w:ascii="仿宋_GB2312" w:eastAsia="仿宋_GB2312"/>
                <w:szCs w:val="21"/>
              </w:rPr>
              <w:t>0</w:t>
            </w:r>
          </w:p>
        </w:tc>
      </w:tr>
      <w:tr w14:paraId="38647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Mar>
              <w:left w:w="108" w:type="dxa"/>
              <w:right w:w="108" w:type="dxa"/>
            </w:tcMar>
            <w:vAlign w:val="center"/>
          </w:tcPr>
          <w:p w14:paraId="3EBB6F00">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tcMar>
              <w:left w:w="108" w:type="dxa"/>
              <w:right w:w="108" w:type="dxa"/>
            </w:tcMar>
            <w:vAlign w:val="center"/>
          </w:tcPr>
          <w:p w14:paraId="1572A72B">
            <w:pPr>
              <w:widowControl/>
              <w:rPr>
                <w:rFonts w:ascii="黑体" w:hAnsi="黑体" w:eastAsia="黑体"/>
                <w:szCs w:val="21"/>
              </w:rPr>
            </w:pPr>
            <w:r>
              <w:rPr>
                <w:rFonts w:hint="eastAsia" w:ascii="黑体" w:hAnsi="黑体" w:eastAsia="黑体"/>
                <w:kern w:val="0"/>
                <w:szCs w:val="21"/>
              </w:rPr>
              <w:t>（一）予以公开</w:t>
            </w:r>
          </w:p>
        </w:tc>
        <w:tc>
          <w:tcPr>
            <w:tcW w:w="829" w:type="dxa"/>
            <w:tcMar>
              <w:left w:w="108" w:type="dxa"/>
              <w:right w:w="108" w:type="dxa"/>
            </w:tcMar>
            <w:vAlign w:val="center"/>
          </w:tcPr>
          <w:p w14:paraId="6F6B0A0B">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8405150">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CE2EAE1">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55C5AA67">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44E7D84A">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3E2FBB9">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266AB672">
            <w:pPr>
              <w:widowControl/>
              <w:spacing w:after="180"/>
              <w:jc w:val="center"/>
              <w:rPr>
                <w:rFonts w:ascii="仿宋_GB2312" w:eastAsia="仿宋_GB2312"/>
                <w:szCs w:val="21"/>
              </w:rPr>
            </w:pPr>
            <w:r>
              <w:rPr>
                <w:rFonts w:hint="eastAsia" w:ascii="仿宋_GB2312" w:eastAsia="仿宋_GB2312"/>
                <w:szCs w:val="21"/>
              </w:rPr>
              <w:t>0</w:t>
            </w:r>
          </w:p>
        </w:tc>
      </w:tr>
      <w:tr w14:paraId="3763B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2AA13C36">
            <w:pPr>
              <w:rPr>
                <w:rFonts w:ascii="黑体" w:hAnsi="黑体" w:eastAsia="黑体"/>
                <w:szCs w:val="21"/>
              </w:rPr>
            </w:pPr>
          </w:p>
        </w:tc>
        <w:tc>
          <w:tcPr>
            <w:tcW w:w="4677" w:type="dxa"/>
            <w:gridSpan w:val="2"/>
            <w:tcMar>
              <w:left w:w="108" w:type="dxa"/>
              <w:right w:w="108" w:type="dxa"/>
            </w:tcMar>
            <w:vAlign w:val="center"/>
          </w:tcPr>
          <w:p w14:paraId="1B6987F4">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tcMar>
              <w:left w:w="108" w:type="dxa"/>
              <w:right w:w="108" w:type="dxa"/>
            </w:tcMar>
            <w:vAlign w:val="center"/>
          </w:tcPr>
          <w:p w14:paraId="01F40C84">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CE0A862">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3A513729">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7DCFA0DE">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60B81340">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CA2BCD6">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075DC41A">
            <w:pPr>
              <w:widowControl/>
              <w:spacing w:after="180"/>
              <w:jc w:val="center"/>
              <w:rPr>
                <w:rFonts w:ascii="仿宋_GB2312" w:eastAsia="仿宋_GB2312"/>
                <w:szCs w:val="21"/>
              </w:rPr>
            </w:pPr>
            <w:r>
              <w:rPr>
                <w:rFonts w:hint="eastAsia" w:ascii="仿宋_GB2312" w:eastAsia="仿宋_GB2312"/>
                <w:szCs w:val="21"/>
              </w:rPr>
              <w:t>0</w:t>
            </w:r>
          </w:p>
        </w:tc>
      </w:tr>
      <w:tr w14:paraId="76E24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BDE7AE8">
            <w:pPr>
              <w:rPr>
                <w:rFonts w:ascii="黑体" w:hAnsi="黑体" w:eastAsia="黑体"/>
                <w:szCs w:val="21"/>
              </w:rPr>
            </w:pPr>
          </w:p>
        </w:tc>
        <w:tc>
          <w:tcPr>
            <w:tcW w:w="1701" w:type="dxa"/>
            <w:vMerge w:val="restart"/>
            <w:tcMar>
              <w:left w:w="108" w:type="dxa"/>
              <w:right w:w="108" w:type="dxa"/>
            </w:tcMar>
            <w:vAlign w:val="center"/>
          </w:tcPr>
          <w:p w14:paraId="0CE71E4B">
            <w:pPr>
              <w:widowControl/>
              <w:spacing w:line="200" w:lineRule="exact"/>
              <w:ind w:left="-107" w:leftChars="-51"/>
              <w:jc w:val="left"/>
              <w:rPr>
                <w:rFonts w:ascii="黑体" w:hAnsi="黑体" w:eastAsia="黑体"/>
                <w:szCs w:val="21"/>
              </w:rPr>
            </w:pPr>
            <w:r>
              <w:rPr>
                <w:rFonts w:hint="eastAsia" w:ascii="黑体" w:hAnsi="黑体" w:eastAsia="黑体"/>
                <w:kern w:val="0"/>
                <w:szCs w:val="21"/>
              </w:rPr>
              <w:t>（三）不予公开</w:t>
            </w:r>
          </w:p>
        </w:tc>
        <w:tc>
          <w:tcPr>
            <w:tcW w:w="2976" w:type="dxa"/>
            <w:tcMar>
              <w:left w:w="108" w:type="dxa"/>
              <w:right w:w="108" w:type="dxa"/>
            </w:tcMar>
            <w:vAlign w:val="center"/>
          </w:tcPr>
          <w:p w14:paraId="1A867423">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tcMar>
              <w:left w:w="108" w:type="dxa"/>
              <w:right w:w="108" w:type="dxa"/>
            </w:tcMar>
            <w:vAlign w:val="center"/>
          </w:tcPr>
          <w:p w14:paraId="4B2B1FBE">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B1A2362">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B70FADC">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5F08301A">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61D8C742">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163278F1">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4FE301FA">
            <w:pPr>
              <w:widowControl/>
              <w:spacing w:after="180"/>
              <w:jc w:val="center"/>
              <w:rPr>
                <w:rFonts w:ascii="仿宋_GB2312" w:eastAsia="仿宋_GB2312"/>
                <w:szCs w:val="21"/>
              </w:rPr>
            </w:pPr>
            <w:r>
              <w:rPr>
                <w:rFonts w:hint="eastAsia" w:ascii="仿宋_GB2312" w:eastAsia="仿宋_GB2312"/>
                <w:szCs w:val="21"/>
              </w:rPr>
              <w:t>0</w:t>
            </w:r>
          </w:p>
        </w:tc>
      </w:tr>
      <w:tr w14:paraId="48B0E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6926D5BC">
            <w:pPr>
              <w:rPr>
                <w:rFonts w:ascii="黑体" w:hAnsi="黑体" w:eastAsia="黑体"/>
                <w:szCs w:val="21"/>
              </w:rPr>
            </w:pPr>
          </w:p>
        </w:tc>
        <w:tc>
          <w:tcPr>
            <w:tcW w:w="1701" w:type="dxa"/>
            <w:vMerge w:val="continue"/>
            <w:tcMar>
              <w:left w:w="108" w:type="dxa"/>
              <w:right w:w="108" w:type="dxa"/>
            </w:tcMar>
            <w:vAlign w:val="center"/>
          </w:tcPr>
          <w:p w14:paraId="753D823D">
            <w:pPr>
              <w:spacing w:line="200" w:lineRule="exact"/>
              <w:jc w:val="left"/>
              <w:rPr>
                <w:rFonts w:ascii="黑体" w:hAnsi="黑体" w:eastAsia="黑体"/>
                <w:szCs w:val="21"/>
              </w:rPr>
            </w:pPr>
          </w:p>
        </w:tc>
        <w:tc>
          <w:tcPr>
            <w:tcW w:w="2976" w:type="dxa"/>
            <w:tcMar>
              <w:left w:w="108" w:type="dxa"/>
              <w:right w:w="108" w:type="dxa"/>
            </w:tcMar>
            <w:vAlign w:val="center"/>
          </w:tcPr>
          <w:p w14:paraId="6D43656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tcMar>
              <w:left w:w="108" w:type="dxa"/>
              <w:right w:w="108" w:type="dxa"/>
            </w:tcMar>
            <w:vAlign w:val="center"/>
          </w:tcPr>
          <w:p w14:paraId="2CF4C845">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9346E01">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1EB3F096">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02A7C947">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13ED1934">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D6CBD1D">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3F500439">
            <w:pPr>
              <w:widowControl/>
              <w:spacing w:after="180"/>
              <w:jc w:val="center"/>
              <w:rPr>
                <w:rFonts w:ascii="仿宋_GB2312" w:eastAsia="仿宋_GB2312"/>
                <w:szCs w:val="21"/>
              </w:rPr>
            </w:pPr>
            <w:r>
              <w:rPr>
                <w:rFonts w:hint="eastAsia" w:ascii="仿宋_GB2312" w:eastAsia="仿宋_GB2312"/>
                <w:szCs w:val="21"/>
              </w:rPr>
              <w:t>0</w:t>
            </w:r>
          </w:p>
        </w:tc>
      </w:tr>
      <w:tr w14:paraId="78E4A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8CFF514">
            <w:pPr>
              <w:rPr>
                <w:rFonts w:ascii="黑体" w:hAnsi="黑体" w:eastAsia="黑体"/>
                <w:szCs w:val="21"/>
              </w:rPr>
            </w:pPr>
          </w:p>
        </w:tc>
        <w:tc>
          <w:tcPr>
            <w:tcW w:w="1701" w:type="dxa"/>
            <w:vMerge w:val="continue"/>
            <w:tcMar>
              <w:left w:w="108" w:type="dxa"/>
              <w:right w:w="108" w:type="dxa"/>
            </w:tcMar>
            <w:vAlign w:val="center"/>
          </w:tcPr>
          <w:p w14:paraId="28C297AA">
            <w:pPr>
              <w:spacing w:line="200" w:lineRule="exact"/>
              <w:jc w:val="left"/>
              <w:rPr>
                <w:rFonts w:ascii="黑体" w:hAnsi="黑体" w:eastAsia="黑体"/>
                <w:szCs w:val="21"/>
              </w:rPr>
            </w:pPr>
          </w:p>
        </w:tc>
        <w:tc>
          <w:tcPr>
            <w:tcW w:w="2976" w:type="dxa"/>
            <w:tcMar>
              <w:left w:w="108" w:type="dxa"/>
              <w:right w:w="108" w:type="dxa"/>
            </w:tcMar>
            <w:vAlign w:val="center"/>
          </w:tcPr>
          <w:p w14:paraId="10F7FF5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tcMar>
              <w:left w:w="108" w:type="dxa"/>
              <w:right w:w="108" w:type="dxa"/>
            </w:tcMar>
            <w:vAlign w:val="center"/>
          </w:tcPr>
          <w:p w14:paraId="0E9E0A3D">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310BEB9">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89B441D">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7F530D21">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212F625E">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643B1FF">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2B5BC93D">
            <w:pPr>
              <w:widowControl/>
              <w:spacing w:after="180"/>
              <w:jc w:val="center"/>
              <w:rPr>
                <w:rFonts w:ascii="仿宋_GB2312" w:eastAsia="仿宋_GB2312"/>
                <w:szCs w:val="21"/>
              </w:rPr>
            </w:pPr>
            <w:r>
              <w:rPr>
                <w:rFonts w:hint="eastAsia" w:ascii="仿宋_GB2312" w:eastAsia="仿宋_GB2312"/>
                <w:szCs w:val="21"/>
              </w:rPr>
              <w:t>0</w:t>
            </w:r>
          </w:p>
        </w:tc>
      </w:tr>
      <w:tr w14:paraId="28090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457EB87">
            <w:pPr>
              <w:rPr>
                <w:rFonts w:ascii="黑体" w:hAnsi="黑体" w:eastAsia="黑体"/>
                <w:szCs w:val="21"/>
              </w:rPr>
            </w:pPr>
          </w:p>
        </w:tc>
        <w:tc>
          <w:tcPr>
            <w:tcW w:w="1701" w:type="dxa"/>
            <w:vMerge w:val="continue"/>
            <w:tcMar>
              <w:left w:w="108" w:type="dxa"/>
              <w:right w:w="108" w:type="dxa"/>
            </w:tcMar>
            <w:vAlign w:val="center"/>
          </w:tcPr>
          <w:p w14:paraId="76F0E53E">
            <w:pPr>
              <w:spacing w:line="200" w:lineRule="exact"/>
              <w:jc w:val="left"/>
              <w:rPr>
                <w:rFonts w:ascii="黑体" w:hAnsi="黑体" w:eastAsia="黑体"/>
                <w:szCs w:val="21"/>
              </w:rPr>
            </w:pPr>
          </w:p>
        </w:tc>
        <w:tc>
          <w:tcPr>
            <w:tcW w:w="2976" w:type="dxa"/>
            <w:tcMar>
              <w:left w:w="108" w:type="dxa"/>
              <w:right w:w="108" w:type="dxa"/>
            </w:tcMar>
            <w:vAlign w:val="center"/>
          </w:tcPr>
          <w:p w14:paraId="2A9A188B">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tcMar>
              <w:left w:w="108" w:type="dxa"/>
              <w:right w:w="108" w:type="dxa"/>
            </w:tcMar>
            <w:vAlign w:val="center"/>
          </w:tcPr>
          <w:p w14:paraId="661DE1A8">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CE96197">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3D19D93">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0126877D">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6F90A326">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0B0FE00">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566DF55E">
            <w:pPr>
              <w:widowControl/>
              <w:spacing w:after="180"/>
              <w:jc w:val="center"/>
              <w:rPr>
                <w:rFonts w:ascii="仿宋_GB2312" w:eastAsia="仿宋_GB2312"/>
                <w:szCs w:val="21"/>
              </w:rPr>
            </w:pPr>
            <w:r>
              <w:rPr>
                <w:rFonts w:hint="eastAsia" w:ascii="仿宋_GB2312" w:eastAsia="仿宋_GB2312"/>
                <w:szCs w:val="21"/>
              </w:rPr>
              <w:t>0</w:t>
            </w:r>
          </w:p>
        </w:tc>
      </w:tr>
      <w:tr w14:paraId="763B0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8BFC039">
            <w:pPr>
              <w:rPr>
                <w:rFonts w:ascii="黑体" w:hAnsi="黑体" w:eastAsia="黑体"/>
                <w:szCs w:val="21"/>
              </w:rPr>
            </w:pPr>
          </w:p>
        </w:tc>
        <w:tc>
          <w:tcPr>
            <w:tcW w:w="1701" w:type="dxa"/>
            <w:vMerge w:val="continue"/>
            <w:tcMar>
              <w:left w:w="108" w:type="dxa"/>
              <w:right w:w="108" w:type="dxa"/>
            </w:tcMar>
            <w:vAlign w:val="center"/>
          </w:tcPr>
          <w:p w14:paraId="465B5367">
            <w:pPr>
              <w:spacing w:line="200" w:lineRule="exact"/>
              <w:jc w:val="left"/>
              <w:rPr>
                <w:rFonts w:ascii="黑体" w:hAnsi="黑体" w:eastAsia="黑体"/>
                <w:szCs w:val="21"/>
              </w:rPr>
            </w:pPr>
          </w:p>
        </w:tc>
        <w:tc>
          <w:tcPr>
            <w:tcW w:w="2976" w:type="dxa"/>
            <w:tcMar>
              <w:left w:w="108" w:type="dxa"/>
              <w:right w:w="108" w:type="dxa"/>
            </w:tcMar>
            <w:vAlign w:val="center"/>
          </w:tcPr>
          <w:p w14:paraId="4322BDF9">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tcMar>
              <w:left w:w="108" w:type="dxa"/>
              <w:right w:w="108" w:type="dxa"/>
            </w:tcMar>
            <w:vAlign w:val="center"/>
          </w:tcPr>
          <w:p w14:paraId="07427FA5">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5947645">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E0C9A76">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7CB6F138">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1D78B069">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4EB9DFE">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7697E8A1">
            <w:pPr>
              <w:widowControl/>
              <w:spacing w:after="180"/>
              <w:jc w:val="center"/>
              <w:rPr>
                <w:rFonts w:ascii="仿宋_GB2312" w:eastAsia="仿宋_GB2312"/>
                <w:szCs w:val="21"/>
              </w:rPr>
            </w:pPr>
            <w:r>
              <w:rPr>
                <w:rFonts w:hint="eastAsia" w:ascii="仿宋_GB2312" w:eastAsia="仿宋_GB2312"/>
                <w:szCs w:val="21"/>
              </w:rPr>
              <w:t>0</w:t>
            </w:r>
          </w:p>
        </w:tc>
      </w:tr>
      <w:tr w14:paraId="37A44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6E78C8F">
            <w:pPr>
              <w:rPr>
                <w:rFonts w:ascii="黑体" w:hAnsi="黑体" w:eastAsia="黑体"/>
                <w:szCs w:val="21"/>
              </w:rPr>
            </w:pPr>
          </w:p>
        </w:tc>
        <w:tc>
          <w:tcPr>
            <w:tcW w:w="1701" w:type="dxa"/>
            <w:vMerge w:val="continue"/>
            <w:tcMar>
              <w:left w:w="108" w:type="dxa"/>
              <w:right w:w="108" w:type="dxa"/>
            </w:tcMar>
            <w:vAlign w:val="center"/>
          </w:tcPr>
          <w:p w14:paraId="6A5007C9">
            <w:pPr>
              <w:spacing w:line="200" w:lineRule="exact"/>
              <w:jc w:val="left"/>
              <w:rPr>
                <w:rFonts w:ascii="黑体" w:hAnsi="黑体" w:eastAsia="黑体"/>
                <w:szCs w:val="21"/>
              </w:rPr>
            </w:pPr>
          </w:p>
        </w:tc>
        <w:tc>
          <w:tcPr>
            <w:tcW w:w="2976" w:type="dxa"/>
            <w:tcMar>
              <w:left w:w="108" w:type="dxa"/>
              <w:right w:w="108" w:type="dxa"/>
            </w:tcMar>
            <w:vAlign w:val="center"/>
          </w:tcPr>
          <w:p w14:paraId="0F4D920B">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tcMar>
              <w:left w:w="108" w:type="dxa"/>
              <w:right w:w="108" w:type="dxa"/>
            </w:tcMar>
            <w:vAlign w:val="center"/>
          </w:tcPr>
          <w:p w14:paraId="0D42344A">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E493FD1">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EBBBD54">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048D7C8C">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4F6F09C1">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1FD4F19">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61FAF3A4">
            <w:pPr>
              <w:widowControl/>
              <w:spacing w:after="180"/>
              <w:jc w:val="center"/>
              <w:rPr>
                <w:rFonts w:ascii="仿宋_GB2312" w:eastAsia="仿宋_GB2312"/>
                <w:szCs w:val="21"/>
              </w:rPr>
            </w:pPr>
            <w:r>
              <w:rPr>
                <w:rFonts w:hint="eastAsia" w:ascii="仿宋_GB2312" w:eastAsia="仿宋_GB2312"/>
                <w:szCs w:val="21"/>
              </w:rPr>
              <w:t>0</w:t>
            </w:r>
          </w:p>
        </w:tc>
      </w:tr>
      <w:tr w14:paraId="3ED2F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70FAEE1">
            <w:pPr>
              <w:rPr>
                <w:rFonts w:ascii="黑体" w:hAnsi="黑体" w:eastAsia="黑体"/>
                <w:szCs w:val="21"/>
              </w:rPr>
            </w:pPr>
          </w:p>
        </w:tc>
        <w:tc>
          <w:tcPr>
            <w:tcW w:w="1701" w:type="dxa"/>
            <w:vMerge w:val="continue"/>
            <w:tcMar>
              <w:left w:w="108" w:type="dxa"/>
              <w:right w:w="108" w:type="dxa"/>
            </w:tcMar>
            <w:vAlign w:val="center"/>
          </w:tcPr>
          <w:p w14:paraId="5C0EF203">
            <w:pPr>
              <w:spacing w:line="200" w:lineRule="exact"/>
              <w:jc w:val="left"/>
              <w:rPr>
                <w:rFonts w:ascii="黑体" w:hAnsi="黑体" w:eastAsia="黑体"/>
                <w:szCs w:val="21"/>
              </w:rPr>
            </w:pPr>
          </w:p>
        </w:tc>
        <w:tc>
          <w:tcPr>
            <w:tcW w:w="2976" w:type="dxa"/>
            <w:tcMar>
              <w:left w:w="108" w:type="dxa"/>
              <w:right w:w="108" w:type="dxa"/>
            </w:tcMar>
            <w:vAlign w:val="center"/>
          </w:tcPr>
          <w:p w14:paraId="2B23321E">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tcMar>
              <w:left w:w="108" w:type="dxa"/>
              <w:right w:w="108" w:type="dxa"/>
            </w:tcMar>
            <w:vAlign w:val="center"/>
          </w:tcPr>
          <w:p w14:paraId="54D17EF9">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17787FA2">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FCC9432">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318F2BF0">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4FD02072">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11CF32B">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5D099E87">
            <w:pPr>
              <w:widowControl/>
              <w:spacing w:after="180"/>
              <w:jc w:val="center"/>
              <w:rPr>
                <w:rFonts w:ascii="仿宋_GB2312" w:eastAsia="仿宋_GB2312"/>
                <w:szCs w:val="21"/>
              </w:rPr>
            </w:pPr>
            <w:r>
              <w:rPr>
                <w:rFonts w:hint="eastAsia" w:ascii="仿宋_GB2312" w:eastAsia="仿宋_GB2312"/>
                <w:szCs w:val="21"/>
              </w:rPr>
              <w:t>0</w:t>
            </w:r>
          </w:p>
        </w:tc>
      </w:tr>
      <w:tr w14:paraId="06A62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0D7AD9E4">
            <w:pPr>
              <w:rPr>
                <w:rFonts w:ascii="黑体" w:hAnsi="黑体" w:eastAsia="黑体"/>
                <w:szCs w:val="21"/>
              </w:rPr>
            </w:pPr>
          </w:p>
        </w:tc>
        <w:tc>
          <w:tcPr>
            <w:tcW w:w="1701" w:type="dxa"/>
            <w:vMerge w:val="continue"/>
            <w:tcMar>
              <w:left w:w="108" w:type="dxa"/>
              <w:right w:w="108" w:type="dxa"/>
            </w:tcMar>
            <w:vAlign w:val="center"/>
          </w:tcPr>
          <w:p w14:paraId="29C6EFEC">
            <w:pPr>
              <w:spacing w:line="200" w:lineRule="exact"/>
              <w:jc w:val="left"/>
              <w:rPr>
                <w:rFonts w:ascii="黑体" w:hAnsi="黑体" w:eastAsia="黑体"/>
                <w:szCs w:val="21"/>
              </w:rPr>
            </w:pPr>
          </w:p>
        </w:tc>
        <w:tc>
          <w:tcPr>
            <w:tcW w:w="2976" w:type="dxa"/>
            <w:tcMar>
              <w:left w:w="108" w:type="dxa"/>
              <w:right w:w="108" w:type="dxa"/>
            </w:tcMar>
            <w:vAlign w:val="center"/>
          </w:tcPr>
          <w:p w14:paraId="44537BD4">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tcMar>
              <w:left w:w="108" w:type="dxa"/>
              <w:right w:w="108" w:type="dxa"/>
            </w:tcMar>
            <w:vAlign w:val="center"/>
          </w:tcPr>
          <w:p w14:paraId="281B14E6">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E34636E">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D00A5B8">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695FC8E3">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70FD31A8">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BA8A082">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7AAE80FD">
            <w:pPr>
              <w:widowControl/>
              <w:spacing w:after="180"/>
              <w:jc w:val="center"/>
              <w:rPr>
                <w:rFonts w:ascii="仿宋_GB2312" w:eastAsia="仿宋_GB2312"/>
                <w:szCs w:val="21"/>
              </w:rPr>
            </w:pPr>
            <w:r>
              <w:rPr>
                <w:rFonts w:hint="eastAsia" w:ascii="仿宋_GB2312" w:eastAsia="仿宋_GB2312"/>
                <w:szCs w:val="21"/>
              </w:rPr>
              <w:t>0</w:t>
            </w:r>
          </w:p>
        </w:tc>
      </w:tr>
      <w:tr w14:paraId="43DA3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F17BCD2">
            <w:pPr>
              <w:rPr>
                <w:rFonts w:ascii="黑体" w:hAnsi="黑体" w:eastAsia="黑体"/>
                <w:szCs w:val="21"/>
              </w:rPr>
            </w:pPr>
          </w:p>
        </w:tc>
        <w:tc>
          <w:tcPr>
            <w:tcW w:w="1701" w:type="dxa"/>
            <w:vMerge w:val="restart"/>
            <w:tcMar>
              <w:left w:w="108" w:type="dxa"/>
              <w:right w:w="108" w:type="dxa"/>
            </w:tcMar>
            <w:vAlign w:val="center"/>
          </w:tcPr>
          <w:p w14:paraId="2F659F7F">
            <w:pPr>
              <w:widowControl/>
              <w:spacing w:line="200" w:lineRule="exact"/>
              <w:ind w:left="-107" w:leftChars="-51"/>
              <w:jc w:val="left"/>
              <w:rPr>
                <w:rFonts w:ascii="黑体" w:hAnsi="黑体" w:eastAsia="黑体"/>
                <w:szCs w:val="21"/>
              </w:rPr>
            </w:pPr>
            <w:r>
              <w:rPr>
                <w:rFonts w:hint="eastAsia" w:ascii="黑体" w:hAnsi="黑体" w:eastAsia="黑体"/>
                <w:kern w:val="0"/>
                <w:szCs w:val="21"/>
              </w:rPr>
              <w:t>（四）无法提供</w:t>
            </w:r>
          </w:p>
        </w:tc>
        <w:tc>
          <w:tcPr>
            <w:tcW w:w="2976" w:type="dxa"/>
            <w:tcMar>
              <w:left w:w="108" w:type="dxa"/>
              <w:right w:w="108" w:type="dxa"/>
            </w:tcMar>
            <w:vAlign w:val="center"/>
          </w:tcPr>
          <w:p w14:paraId="2D126C05">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tcMar>
              <w:left w:w="108" w:type="dxa"/>
              <w:right w:w="108" w:type="dxa"/>
            </w:tcMar>
            <w:vAlign w:val="center"/>
          </w:tcPr>
          <w:p w14:paraId="3F0C33D8">
            <w:pPr>
              <w:widowControl/>
              <w:spacing w:after="180" w:line="200" w:lineRule="exact"/>
              <w:jc w:val="center"/>
              <w:rPr>
                <w:rFonts w:hint="eastAsia" w:ascii="仿宋_GB2312" w:eastAsia="仿宋_GB2312"/>
                <w:szCs w:val="21"/>
                <w:lang w:eastAsia="zh-CN"/>
              </w:rPr>
            </w:pPr>
            <w:r>
              <w:rPr>
                <w:rFonts w:hint="eastAsia" w:ascii="仿宋_GB2312" w:eastAsia="仿宋_GB2312"/>
                <w:szCs w:val="21"/>
                <w:lang w:val="en-US" w:eastAsia="zh-CN"/>
              </w:rPr>
              <w:t>0</w:t>
            </w:r>
          </w:p>
        </w:tc>
        <w:tc>
          <w:tcPr>
            <w:tcW w:w="567" w:type="dxa"/>
            <w:tcMar>
              <w:left w:w="108" w:type="dxa"/>
              <w:right w:w="108" w:type="dxa"/>
            </w:tcMar>
            <w:vAlign w:val="center"/>
          </w:tcPr>
          <w:p w14:paraId="160F15AC">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6CF2085">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2EC49574">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15FC0788">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7D97E9A">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6260E9D5">
            <w:pPr>
              <w:widowControl/>
              <w:spacing w:after="180"/>
              <w:jc w:val="center"/>
              <w:rPr>
                <w:rFonts w:hint="eastAsia" w:ascii="仿宋_GB2312" w:eastAsia="仿宋_GB2312"/>
                <w:szCs w:val="21"/>
                <w:lang w:eastAsia="zh-CN"/>
              </w:rPr>
            </w:pPr>
            <w:r>
              <w:rPr>
                <w:rFonts w:hint="eastAsia" w:ascii="仿宋_GB2312" w:eastAsia="仿宋_GB2312"/>
                <w:szCs w:val="21"/>
                <w:lang w:val="en-US" w:eastAsia="zh-CN"/>
              </w:rPr>
              <w:t>0</w:t>
            </w:r>
          </w:p>
        </w:tc>
      </w:tr>
      <w:tr w14:paraId="1410C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2CA257CF">
            <w:pPr>
              <w:rPr>
                <w:rFonts w:ascii="黑体" w:hAnsi="黑体" w:eastAsia="黑体"/>
                <w:szCs w:val="21"/>
              </w:rPr>
            </w:pPr>
          </w:p>
        </w:tc>
        <w:tc>
          <w:tcPr>
            <w:tcW w:w="1701" w:type="dxa"/>
            <w:vMerge w:val="continue"/>
            <w:tcMar>
              <w:left w:w="108" w:type="dxa"/>
              <w:right w:w="108" w:type="dxa"/>
            </w:tcMar>
            <w:vAlign w:val="center"/>
          </w:tcPr>
          <w:p w14:paraId="0698E8CA">
            <w:pPr>
              <w:spacing w:line="200" w:lineRule="exact"/>
              <w:ind w:left="-107" w:leftChars="-51"/>
              <w:jc w:val="left"/>
              <w:rPr>
                <w:rFonts w:ascii="黑体" w:hAnsi="黑体" w:eastAsia="黑体"/>
                <w:szCs w:val="21"/>
              </w:rPr>
            </w:pPr>
          </w:p>
        </w:tc>
        <w:tc>
          <w:tcPr>
            <w:tcW w:w="2976" w:type="dxa"/>
            <w:tcMar>
              <w:left w:w="108" w:type="dxa"/>
              <w:right w:w="108" w:type="dxa"/>
            </w:tcMar>
            <w:vAlign w:val="center"/>
          </w:tcPr>
          <w:p w14:paraId="288BA042">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tcMar>
              <w:left w:w="108" w:type="dxa"/>
              <w:right w:w="108" w:type="dxa"/>
            </w:tcMar>
            <w:vAlign w:val="center"/>
          </w:tcPr>
          <w:p w14:paraId="1E1BD439">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905DEFE">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92513B1">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534173F7">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24D5FF8B">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6671195">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20EB9EA4">
            <w:pPr>
              <w:widowControl/>
              <w:spacing w:after="180"/>
              <w:jc w:val="center"/>
              <w:rPr>
                <w:rFonts w:ascii="仿宋_GB2312" w:eastAsia="仿宋_GB2312"/>
                <w:szCs w:val="21"/>
              </w:rPr>
            </w:pPr>
            <w:r>
              <w:rPr>
                <w:rFonts w:hint="eastAsia" w:ascii="仿宋_GB2312" w:eastAsia="仿宋_GB2312"/>
                <w:szCs w:val="21"/>
              </w:rPr>
              <w:t>0</w:t>
            </w:r>
          </w:p>
        </w:tc>
      </w:tr>
      <w:tr w14:paraId="06EC3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287AD5EE">
            <w:pPr>
              <w:rPr>
                <w:rFonts w:ascii="黑体" w:hAnsi="黑体" w:eastAsia="黑体"/>
                <w:szCs w:val="21"/>
              </w:rPr>
            </w:pPr>
          </w:p>
        </w:tc>
        <w:tc>
          <w:tcPr>
            <w:tcW w:w="1701" w:type="dxa"/>
            <w:vMerge w:val="continue"/>
            <w:tcMar>
              <w:left w:w="108" w:type="dxa"/>
              <w:right w:w="108" w:type="dxa"/>
            </w:tcMar>
            <w:vAlign w:val="center"/>
          </w:tcPr>
          <w:p w14:paraId="48A2F245">
            <w:pPr>
              <w:spacing w:line="200" w:lineRule="exact"/>
              <w:ind w:left="-107" w:leftChars="-51"/>
              <w:jc w:val="left"/>
              <w:rPr>
                <w:rFonts w:ascii="黑体" w:hAnsi="黑体" w:eastAsia="黑体"/>
                <w:szCs w:val="21"/>
              </w:rPr>
            </w:pPr>
          </w:p>
        </w:tc>
        <w:tc>
          <w:tcPr>
            <w:tcW w:w="2976" w:type="dxa"/>
            <w:tcMar>
              <w:left w:w="108" w:type="dxa"/>
              <w:right w:w="108" w:type="dxa"/>
            </w:tcMar>
            <w:vAlign w:val="center"/>
          </w:tcPr>
          <w:p w14:paraId="5C195F5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tcMar>
              <w:left w:w="108" w:type="dxa"/>
              <w:right w:w="108" w:type="dxa"/>
            </w:tcMar>
            <w:vAlign w:val="center"/>
          </w:tcPr>
          <w:p w14:paraId="12CA6C52">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B23B709">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6EC40B5">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1159B023">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692B1468">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BED5A10">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255E688D">
            <w:pPr>
              <w:widowControl/>
              <w:spacing w:after="180"/>
              <w:jc w:val="center"/>
              <w:rPr>
                <w:rFonts w:ascii="仿宋_GB2312" w:eastAsia="仿宋_GB2312"/>
                <w:szCs w:val="21"/>
              </w:rPr>
            </w:pPr>
            <w:r>
              <w:rPr>
                <w:rFonts w:hint="eastAsia" w:ascii="仿宋_GB2312" w:eastAsia="仿宋_GB2312"/>
                <w:szCs w:val="21"/>
              </w:rPr>
              <w:t>0</w:t>
            </w:r>
          </w:p>
        </w:tc>
      </w:tr>
      <w:tr w14:paraId="7EFC5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DC2DF61">
            <w:pPr>
              <w:rPr>
                <w:rFonts w:ascii="黑体" w:hAnsi="黑体" w:eastAsia="黑体"/>
                <w:szCs w:val="21"/>
              </w:rPr>
            </w:pPr>
          </w:p>
        </w:tc>
        <w:tc>
          <w:tcPr>
            <w:tcW w:w="1701" w:type="dxa"/>
            <w:vMerge w:val="restart"/>
            <w:tcMar>
              <w:left w:w="108" w:type="dxa"/>
              <w:right w:w="108" w:type="dxa"/>
            </w:tcMar>
            <w:vAlign w:val="center"/>
          </w:tcPr>
          <w:p w14:paraId="27991B52">
            <w:pPr>
              <w:widowControl/>
              <w:spacing w:line="200" w:lineRule="exact"/>
              <w:ind w:left="-107" w:leftChars="-51"/>
              <w:jc w:val="left"/>
              <w:rPr>
                <w:rFonts w:ascii="黑体" w:hAnsi="黑体" w:eastAsia="黑体"/>
                <w:szCs w:val="21"/>
              </w:rPr>
            </w:pPr>
            <w:r>
              <w:rPr>
                <w:rFonts w:hint="eastAsia" w:ascii="黑体" w:hAnsi="黑体" w:eastAsia="黑体"/>
                <w:kern w:val="0"/>
                <w:szCs w:val="21"/>
              </w:rPr>
              <w:t>（五）不予处理</w:t>
            </w:r>
          </w:p>
        </w:tc>
        <w:tc>
          <w:tcPr>
            <w:tcW w:w="2976" w:type="dxa"/>
            <w:tcMar>
              <w:left w:w="108" w:type="dxa"/>
              <w:right w:w="108" w:type="dxa"/>
            </w:tcMar>
            <w:vAlign w:val="center"/>
          </w:tcPr>
          <w:p w14:paraId="64A3965B">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tcMar>
              <w:left w:w="108" w:type="dxa"/>
              <w:right w:w="108" w:type="dxa"/>
            </w:tcMar>
            <w:vAlign w:val="center"/>
          </w:tcPr>
          <w:p w14:paraId="587E2791">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E9FEE20">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4062185">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3E8C7116">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662BD8CB">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8EF7D2B">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0F16B4DC">
            <w:pPr>
              <w:widowControl/>
              <w:spacing w:after="180"/>
              <w:jc w:val="center"/>
              <w:rPr>
                <w:rFonts w:ascii="仿宋_GB2312" w:eastAsia="仿宋_GB2312"/>
                <w:szCs w:val="21"/>
              </w:rPr>
            </w:pPr>
            <w:r>
              <w:rPr>
                <w:rFonts w:hint="eastAsia" w:ascii="仿宋_GB2312" w:eastAsia="仿宋_GB2312"/>
                <w:szCs w:val="21"/>
              </w:rPr>
              <w:t>0</w:t>
            </w:r>
          </w:p>
        </w:tc>
      </w:tr>
      <w:tr w14:paraId="7E253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DF215D2">
            <w:pPr>
              <w:rPr>
                <w:rFonts w:ascii="黑体" w:hAnsi="黑体" w:eastAsia="黑体"/>
                <w:szCs w:val="21"/>
              </w:rPr>
            </w:pPr>
          </w:p>
        </w:tc>
        <w:tc>
          <w:tcPr>
            <w:tcW w:w="1701" w:type="dxa"/>
            <w:vMerge w:val="continue"/>
            <w:tcMar>
              <w:left w:w="108" w:type="dxa"/>
              <w:right w:w="108" w:type="dxa"/>
            </w:tcMar>
            <w:vAlign w:val="center"/>
          </w:tcPr>
          <w:p w14:paraId="5F6348F0">
            <w:pPr>
              <w:spacing w:line="200" w:lineRule="exact"/>
              <w:jc w:val="left"/>
              <w:rPr>
                <w:rFonts w:ascii="黑体" w:hAnsi="黑体" w:eastAsia="黑体"/>
                <w:szCs w:val="21"/>
              </w:rPr>
            </w:pPr>
          </w:p>
        </w:tc>
        <w:tc>
          <w:tcPr>
            <w:tcW w:w="2976" w:type="dxa"/>
            <w:tcMar>
              <w:left w:w="108" w:type="dxa"/>
              <w:right w:w="108" w:type="dxa"/>
            </w:tcMar>
            <w:vAlign w:val="center"/>
          </w:tcPr>
          <w:p w14:paraId="269A957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tcMar>
              <w:left w:w="108" w:type="dxa"/>
              <w:right w:w="108" w:type="dxa"/>
            </w:tcMar>
            <w:vAlign w:val="center"/>
          </w:tcPr>
          <w:p w14:paraId="7BB019F8">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903497A">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1DEE6CA">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6BEB51CB">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113036C0">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EAE5B31">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230DA52C">
            <w:pPr>
              <w:widowControl/>
              <w:spacing w:after="180"/>
              <w:jc w:val="center"/>
              <w:rPr>
                <w:rFonts w:ascii="仿宋_GB2312" w:eastAsia="仿宋_GB2312"/>
                <w:szCs w:val="21"/>
              </w:rPr>
            </w:pPr>
            <w:r>
              <w:rPr>
                <w:rFonts w:hint="eastAsia" w:ascii="仿宋_GB2312" w:eastAsia="仿宋_GB2312"/>
                <w:szCs w:val="21"/>
              </w:rPr>
              <w:t>0</w:t>
            </w:r>
          </w:p>
        </w:tc>
      </w:tr>
      <w:tr w14:paraId="2455F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769D2D2B">
            <w:pPr>
              <w:rPr>
                <w:rFonts w:ascii="黑体" w:hAnsi="黑体" w:eastAsia="黑体"/>
                <w:szCs w:val="21"/>
              </w:rPr>
            </w:pPr>
          </w:p>
        </w:tc>
        <w:tc>
          <w:tcPr>
            <w:tcW w:w="1701" w:type="dxa"/>
            <w:vMerge w:val="continue"/>
            <w:tcMar>
              <w:left w:w="108" w:type="dxa"/>
              <w:right w:w="108" w:type="dxa"/>
            </w:tcMar>
            <w:vAlign w:val="center"/>
          </w:tcPr>
          <w:p w14:paraId="4155F999">
            <w:pPr>
              <w:spacing w:line="200" w:lineRule="exact"/>
              <w:jc w:val="left"/>
              <w:rPr>
                <w:rFonts w:ascii="黑体" w:hAnsi="黑体" w:eastAsia="黑体"/>
                <w:szCs w:val="21"/>
              </w:rPr>
            </w:pPr>
          </w:p>
        </w:tc>
        <w:tc>
          <w:tcPr>
            <w:tcW w:w="2976" w:type="dxa"/>
            <w:tcMar>
              <w:left w:w="108" w:type="dxa"/>
              <w:right w:w="108" w:type="dxa"/>
            </w:tcMar>
            <w:vAlign w:val="center"/>
          </w:tcPr>
          <w:p w14:paraId="413FAFD3">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tcMar>
              <w:left w:w="108" w:type="dxa"/>
              <w:right w:w="108" w:type="dxa"/>
            </w:tcMar>
            <w:vAlign w:val="center"/>
          </w:tcPr>
          <w:p w14:paraId="337DD6FA">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C2042F5">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61A8629">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4A34EC58">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5D60F07D">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481F983">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49CC024D">
            <w:pPr>
              <w:widowControl/>
              <w:spacing w:after="180"/>
              <w:jc w:val="center"/>
              <w:rPr>
                <w:rFonts w:ascii="仿宋_GB2312" w:eastAsia="仿宋_GB2312"/>
                <w:szCs w:val="21"/>
              </w:rPr>
            </w:pPr>
            <w:r>
              <w:rPr>
                <w:rFonts w:hint="eastAsia" w:ascii="仿宋_GB2312" w:eastAsia="仿宋_GB2312"/>
                <w:szCs w:val="21"/>
              </w:rPr>
              <w:t>0</w:t>
            </w:r>
          </w:p>
        </w:tc>
      </w:tr>
      <w:tr w14:paraId="32C89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tcMar>
              <w:left w:w="108" w:type="dxa"/>
              <w:right w:w="108" w:type="dxa"/>
            </w:tcMar>
            <w:vAlign w:val="center"/>
          </w:tcPr>
          <w:p w14:paraId="23EFF817">
            <w:pPr>
              <w:rPr>
                <w:rFonts w:ascii="黑体" w:hAnsi="黑体" w:eastAsia="黑体"/>
                <w:szCs w:val="21"/>
              </w:rPr>
            </w:pPr>
          </w:p>
        </w:tc>
        <w:tc>
          <w:tcPr>
            <w:tcW w:w="1701" w:type="dxa"/>
            <w:vMerge w:val="continue"/>
            <w:tcMar>
              <w:left w:w="108" w:type="dxa"/>
              <w:right w:w="108" w:type="dxa"/>
            </w:tcMar>
            <w:vAlign w:val="center"/>
          </w:tcPr>
          <w:p w14:paraId="5654A347">
            <w:pPr>
              <w:spacing w:line="200" w:lineRule="exact"/>
              <w:jc w:val="left"/>
              <w:rPr>
                <w:rFonts w:ascii="黑体" w:hAnsi="黑体" w:eastAsia="黑体"/>
                <w:szCs w:val="21"/>
              </w:rPr>
            </w:pPr>
          </w:p>
        </w:tc>
        <w:tc>
          <w:tcPr>
            <w:tcW w:w="2976" w:type="dxa"/>
            <w:tcMar>
              <w:left w:w="108" w:type="dxa"/>
              <w:right w:w="108" w:type="dxa"/>
            </w:tcMar>
            <w:vAlign w:val="center"/>
          </w:tcPr>
          <w:p w14:paraId="24D8D264">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tcMar>
              <w:left w:w="108" w:type="dxa"/>
              <w:right w:w="108" w:type="dxa"/>
            </w:tcMar>
            <w:vAlign w:val="center"/>
          </w:tcPr>
          <w:p w14:paraId="35EE2C2C">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129BDE7A">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3767D7B1">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600C45FF">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32C1D3EF">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31E93360">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6990F46F">
            <w:pPr>
              <w:widowControl/>
              <w:spacing w:after="180"/>
              <w:jc w:val="center"/>
              <w:rPr>
                <w:rFonts w:ascii="仿宋_GB2312" w:eastAsia="仿宋_GB2312"/>
                <w:szCs w:val="21"/>
              </w:rPr>
            </w:pPr>
            <w:r>
              <w:rPr>
                <w:rFonts w:hint="eastAsia" w:ascii="仿宋_GB2312" w:eastAsia="仿宋_GB2312"/>
                <w:szCs w:val="21"/>
              </w:rPr>
              <w:t>0</w:t>
            </w:r>
          </w:p>
        </w:tc>
      </w:tr>
      <w:tr w14:paraId="111FC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02ABE7C4">
            <w:pPr>
              <w:rPr>
                <w:rFonts w:ascii="黑体" w:hAnsi="黑体" w:eastAsia="黑体"/>
                <w:szCs w:val="21"/>
              </w:rPr>
            </w:pPr>
          </w:p>
        </w:tc>
        <w:tc>
          <w:tcPr>
            <w:tcW w:w="1701" w:type="dxa"/>
            <w:vMerge w:val="continue"/>
            <w:tcMar>
              <w:left w:w="108" w:type="dxa"/>
              <w:right w:w="108" w:type="dxa"/>
            </w:tcMar>
            <w:vAlign w:val="center"/>
          </w:tcPr>
          <w:p w14:paraId="06D16D81">
            <w:pPr>
              <w:spacing w:line="200" w:lineRule="exact"/>
              <w:jc w:val="left"/>
              <w:rPr>
                <w:rFonts w:ascii="黑体" w:hAnsi="黑体" w:eastAsia="黑体"/>
                <w:szCs w:val="21"/>
              </w:rPr>
            </w:pPr>
          </w:p>
        </w:tc>
        <w:tc>
          <w:tcPr>
            <w:tcW w:w="2976" w:type="dxa"/>
            <w:tcMar>
              <w:left w:w="108" w:type="dxa"/>
              <w:right w:w="108" w:type="dxa"/>
            </w:tcMar>
            <w:vAlign w:val="center"/>
          </w:tcPr>
          <w:p w14:paraId="42CE11CD">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376F7047">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tcMar>
              <w:left w:w="108" w:type="dxa"/>
              <w:right w:w="108" w:type="dxa"/>
            </w:tcMar>
            <w:vAlign w:val="center"/>
          </w:tcPr>
          <w:p w14:paraId="72F5F81B">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8DE08C3">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5A17987">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2E49F119">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3041E1E6">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73CD70F">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1090D4FC">
            <w:pPr>
              <w:widowControl/>
              <w:spacing w:after="180"/>
              <w:jc w:val="center"/>
              <w:rPr>
                <w:rFonts w:ascii="仿宋_GB2312" w:eastAsia="仿宋_GB2312"/>
                <w:szCs w:val="21"/>
              </w:rPr>
            </w:pPr>
            <w:r>
              <w:rPr>
                <w:rFonts w:hint="eastAsia" w:ascii="仿宋_GB2312" w:eastAsia="仿宋_GB2312"/>
                <w:szCs w:val="21"/>
              </w:rPr>
              <w:t>0</w:t>
            </w:r>
          </w:p>
        </w:tc>
      </w:tr>
      <w:tr w14:paraId="0265B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590EE6F3">
            <w:pPr>
              <w:rPr>
                <w:rFonts w:ascii="黑体" w:hAnsi="黑体" w:eastAsia="黑体"/>
                <w:szCs w:val="21"/>
              </w:rPr>
            </w:pPr>
          </w:p>
        </w:tc>
        <w:tc>
          <w:tcPr>
            <w:tcW w:w="1701" w:type="dxa"/>
            <w:vMerge w:val="restart"/>
            <w:tcMar>
              <w:left w:w="108" w:type="dxa"/>
              <w:right w:w="108" w:type="dxa"/>
            </w:tcMar>
            <w:vAlign w:val="center"/>
          </w:tcPr>
          <w:p w14:paraId="1127BEC6">
            <w:pPr>
              <w:widowControl/>
              <w:spacing w:line="300" w:lineRule="exact"/>
              <w:jc w:val="left"/>
              <w:rPr>
                <w:rFonts w:ascii="黑体" w:hAnsi="黑体" w:eastAsia="黑体"/>
                <w:kern w:val="0"/>
                <w:szCs w:val="21"/>
              </w:rPr>
            </w:pPr>
            <w:r>
              <w:rPr>
                <w:rFonts w:hint="eastAsia" w:ascii="黑体" w:hAnsi="黑体" w:eastAsia="黑体"/>
                <w:kern w:val="0"/>
                <w:szCs w:val="21"/>
              </w:rPr>
              <w:t>（六）其他处理</w:t>
            </w:r>
          </w:p>
        </w:tc>
        <w:tc>
          <w:tcPr>
            <w:tcW w:w="2976" w:type="dxa"/>
            <w:vAlign w:val="center"/>
          </w:tcPr>
          <w:p w14:paraId="3325ABA3">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tcMar>
              <w:left w:w="108" w:type="dxa"/>
              <w:right w:w="108" w:type="dxa"/>
            </w:tcMar>
            <w:vAlign w:val="center"/>
          </w:tcPr>
          <w:p w14:paraId="34279B4E">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58690DE">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09B2935">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6B38A2B9">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04A5D04D">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5AAD9B8">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4564E172">
            <w:pPr>
              <w:widowControl/>
              <w:spacing w:after="180"/>
              <w:jc w:val="center"/>
              <w:rPr>
                <w:rFonts w:ascii="仿宋_GB2312" w:eastAsia="仿宋_GB2312"/>
                <w:szCs w:val="21"/>
              </w:rPr>
            </w:pPr>
            <w:r>
              <w:rPr>
                <w:rFonts w:hint="eastAsia" w:ascii="仿宋_GB2312" w:eastAsia="仿宋_GB2312"/>
                <w:szCs w:val="21"/>
              </w:rPr>
              <w:t>0</w:t>
            </w:r>
          </w:p>
        </w:tc>
      </w:tr>
      <w:tr w14:paraId="62CCE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43EB9484">
            <w:pPr>
              <w:rPr>
                <w:rFonts w:ascii="黑体" w:hAnsi="黑体" w:eastAsia="黑体"/>
                <w:szCs w:val="21"/>
              </w:rPr>
            </w:pPr>
          </w:p>
        </w:tc>
        <w:tc>
          <w:tcPr>
            <w:tcW w:w="1701" w:type="dxa"/>
            <w:vMerge w:val="continue"/>
            <w:tcMar>
              <w:left w:w="108" w:type="dxa"/>
              <w:right w:w="108" w:type="dxa"/>
            </w:tcMar>
            <w:vAlign w:val="center"/>
          </w:tcPr>
          <w:p w14:paraId="2E1EB790">
            <w:pPr>
              <w:widowControl/>
              <w:spacing w:line="300" w:lineRule="exact"/>
              <w:rPr>
                <w:rFonts w:ascii="黑体" w:hAnsi="黑体" w:eastAsia="黑体"/>
                <w:kern w:val="0"/>
                <w:szCs w:val="21"/>
              </w:rPr>
            </w:pPr>
          </w:p>
        </w:tc>
        <w:tc>
          <w:tcPr>
            <w:tcW w:w="2976" w:type="dxa"/>
            <w:vAlign w:val="center"/>
          </w:tcPr>
          <w:p w14:paraId="618DB6DE">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tcMar>
              <w:left w:w="108" w:type="dxa"/>
              <w:right w:w="108" w:type="dxa"/>
            </w:tcMar>
            <w:vAlign w:val="center"/>
          </w:tcPr>
          <w:p w14:paraId="6AE7A704">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0DB5F6EE">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697994F">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78928C02">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242434A2">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5CAAE72B">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0E14AF83">
            <w:pPr>
              <w:widowControl/>
              <w:spacing w:after="180"/>
              <w:jc w:val="center"/>
              <w:rPr>
                <w:rFonts w:ascii="仿宋_GB2312" w:eastAsia="仿宋_GB2312"/>
                <w:szCs w:val="21"/>
              </w:rPr>
            </w:pPr>
            <w:r>
              <w:rPr>
                <w:rFonts w:hint="eastAsia" w:ascii="仿宋_GB2312" w:eastAsia="仿宋_GB2312"/>
                <w:szCs w:val="21"/>
              </w:rPr>
              <w:t>0</w:t>
            </w:r>
          </w:p>
        </w:tc>
      </w:tr>
      <w:tr w14:paraId="22F8B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3864949C">
            <w:pPr>
              <w:rPr>
                <w:rFonts w:ascii="黑体" w:hAnsi="黑体" w:eastAsia="黑体"/>
                <w:szCs w:val="21"/>
              </w:rPr>
            </w:pPr>
          </w:p>
        </w:tc>
        <w:tc>
          <w:tcPr>
            <w:tcW w:w="1701" w:type="dxa"/>
            <w:vMerge w:val="continue"/>
            <w:tcMar>
              <w:left w:w="108" w:type="dxa"/>
              <w:right w:w="108" w:type="dxa"/>
            </w:tcMar>
            <w:vAlign w:val="center"/>
          </w:tcPr>
          <w:p w14:paraId="39842078">
            <w:pPr>
              <w:widowControl/>
              <w:spacing w:line="300" w:lineRule="exact"/>
              <w:rPr>
                <w:rFonts w:ascii="黑体" w:hAnsi="黑体" w:eastAsia="黑体"/>
                <w:kern w:val="0"/>
                <w:szCs w:val="21"/>
              </w:rPr>
            </w:pPr>
          </w:p>
        </w:tc>
        <w:tc>
          <w:tcPr>
            <w:tcW w:w="2976" w:type="dxa"/>
            <w:vAlign w:val="center"/>
          </w:tcPr>
          <w:p w14:paraId="13F52579">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tcMar>
              <w:left w:w="108" w:type="dxa"/>
              <w:right w:w="108" w:type="dxa"/>
            </w:tcMar>
            <w:vAlign w:val="center"/>
          </w:tcPr>
          <w:p w14:paraId="05BDF35F">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6BF8448">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6E797A7A">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3AF49434">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7766D799">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45A6793B">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7E7627C9">
            <w:pPr>
              <w:widowControl/>
              <w:spacing w:after="180"/>
              <w:jc w:val="center"/>
              <w:rPr>
                <w:rFonts w:ascii="仿宋_GB2312" w:eastAsia="仿宋_GB2312"/>
                <w:szCs w:val="21"/>
              </w:rPr>
            </w:pPr>
            <w:r>
              <w:rPr>
                <w:rFonts w:hint="eastAsia" w:ascii="仿宋_GB2312" w:eastAsia="仿宋_GB2312"/>
                <w:szCs w:val="21"/>
              </w:rPr>
              <w:t>0</w:t>
            </w:r>
          </w:p>
        </w:tc>
      </w:tr>
      <w:tr w14:paraId="35B42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6B941090">
            <w:pPr>
              <w:rPr>
                <w:rFonts w:ascii="黑体" w:hAnsi="黑体" w:eastAsia="黑体"/>
                <w:szCs w:val="21"/>
              </w:rPr>
            </w:pPr>
          </w:p>
        </w:tc>
        <w:tc>
          <w:tcPr>
            <w:tcW w:w="4677" w:type="dxa"/>
            <w:gridSpan w:val="2"/>
            <w:tcMar>
              <w:left w:w="108" w:type="dxa"/>
              <w:right w:w="108" w:type="dxa"/>
            </w:tcMar>
            <w:vAlign w:val="center"/>
          </w:tcPr>
          <w:p w14:paraId="07443455">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tcMar>
              <w:left w:w="108" w:type="dxa"/>
              <w:right w:w="108" w:type="dxa"/>
            </w:tcMar>
            <w:vAlign w:val="center"/>
          </w:tcPr>
          <w:p w14:paraId="57F93476">
            <w:pPr>
              <w:widowControl/>
              <w:spacing w:after="180" w:line="200" w:lineRule="exact"/>
              <w:jc w:val="center"/>
              <w:rPr>
                <w:rFonts w:hint="eastAsia" w:ascii="仿宋_GB2312" w:eastAsia="仿宋_GB2312"/>
                <w:szCs w:val="21"/>
                <w:lang w:eastAsia="zh-CN"/>
              </w:rPr>
            </w:pPr>
            <w:r>
              <w:rPr>
                <w:rFonts w:hint="eastAsia" w:ascii="仿宋_GB2312" w:eastAsia="仿宋_GB2312"/>
                <w:szCs w:val="21"/>
                <w:lang w:val="en-US" w:eastAsia="zh-CN"/>
              </w:rPr>
              <w:t>0</w:t>
            </w:r>
          </w:p>
        </w:tc>
        <w:tc>
          <w:tcPr>
            <w:tcW w:w="567" w:type="dxa"/>
            <w:tcMar>
              <w:left w:w="108" w:type="dxa"/>
              <w:right w:w="108" w:type="dxa"/>
            </w:tcMar>
            <w:vAlign w:val="center"/>
          </w:tcPr>
          <w:p w14:paraId="3FFEF924">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3AF9D196">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3CC27FF5">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29F4DF58">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9F5575D">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6A677B0A">
            <w:pPr>
              <w:widowControl/>
              <w:spacing w:after="180"/>
              <w:jc w:val="center"/>
              <w:rPr>
                <w:rFonts w:hint="eastAsia" w:ascii="仿宋_GB2312" w:eastAsia="仿宋_GB2312"/>
                <w:szCs w:val="21"/>
                <w:lang w:eastAsia="zh-CN"/>
              </w:rPr>
            </w:pPr>
            <w:r>
              <w:rPr>
                <w:rFonts w:hint="eastAsia" w:ascii="仿宋_GB2312" w:eastAsia="仿宋_GB2312"/>
                <w:szCs w:val="21"/>
                <w:lang w:val="en-US" w:eastAsia="zh-CN"/>
              </w:rPr>
              <w:t>0</w:t>
            </w:r>
          </w:p>
        </w:tc>
      </w:tr>
      <w:tr w14:paraId="67914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Mar>
              <w:left w:w="108" w:type="dxa"/>
              <w:right w:w="108" w:type="dxa"/>
            </w:tcMar>
            <w:vAlign w:val="center"/>
          </w:tcPr>
          <w:p w14:paraId="2A0A1119">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tcMar>
              <w:left w:w="108" w:type="dxa"/>
              <w:right w:w="108" w:type="dxa"/>
            </w:tcMar>
            <w:vAlign w:val="center"/>
          </w:tcPr>
          <w:p w14:paraId="58CBC644">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B3B7777">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78F959EF">
            <w:pPr>
              <w:widowControl/>
              <w:spacing w:after="180"/>
              <w:jc w:val="center"/>
              <w:rPr>
                <w:rFonts w:ascii="仿宋_GB2312" w:eastAsia="仿宋_GB2312"/>
                <w:szCs w:val="21"/>
              </w:rPr>
            </w:pPr>
            <w:r>
              <w:rPr>
                <w:rFonts w:hint="eastAsia" w:ascii="仿宋_GB2312" w:eastAsia="仿宋_GB2312"/>
                <w:szCs w:val="21"/>
              </w:rPr>
              <w:t>0</w:t>
            </w:r>
          </w:p>
        </w:tc>
        <w:tc>
          <w:tcPr>
            <w:tcW w:w="731" w:type="dxa"/>
            <w:tcMar>
              <w:left w:w="108" w:type="dxa"/>
              <w:right w:w="108" w:type="dxa"/>
            </w:tcMar>
            <w:vAlign w:val="center"/>
          </w:tcPr>
          <w:p w14:paraId="74E83262">
            <w:pPr>
              <w:widowControl/>
              <w:spacing w:after="180"/>
              <w:jc w:val="center"/>
              <w:rPr>
                <w:rFonts w:ascii="仿宋_GB2312" w:eastAsia="仿宋_GB2312"/>
                <w:szCs w:val="21"/>
              </w:rPr>
            </w:pPr>
            <w:r>
              <w:rPr>
                <w:rFonts w:hint="eastAsia" w:ascii="仿宋_GB2312" w:eastAsia="仿宋_GB2312"/>
                <w:szCs w:val="21"/>
              </w:rPr>
              <w:t>0</w:t>
            </w:r>
          </w:p>
        </w:tc>
        <w:tc>
          <w:tcPr>
            <w:tcW w:w="708" w:type="dxa"/>
            <w:tcMar>
              <w:left w:w="108" w:type="dxa"/>
              <w:right w:w="108" w:type="dxa"/>
            </w:tcMar>
            <w:vAlign w:val="center"/>
          </w:tcPr>
          <w:p w14:paraId="15FC0AFB">
            <w:pPr>
              <w:widowControl/>
              <w:spacing w:after="180"/>
              <w:jc w:val="center"/>
              <w:rPr>
                <w:rFonts w:ascii="仿宋_GB2312" w:eastAsia="仿宋_GB2312"/>
                <w:szCs w:val="21"/>
              </w:rPr>
            </w:pPr>
            <w:r>
              <w:rPr>
                <w:rFonts w:hint="eastAsia" w:ascii="仿宋_GB2312" w:eastAsia="仿宋_GB2312"/>
                <w:szCs w:val="21"/>
              </w:rPr>
              <w:t>0</w:t>
            </w:r>
          </w:p>
        </w:tc>
        <w:tc>
          <w:tcPr>
            <w:tcW w:w="567" w:type="dxa"/>
            <w:tcMar>
              <w:left w:w="108" w:type="dxa"/>
              <w:right w:w="108" w:type="dxa"/>
            </w:tcMar>
            <w:vAlign w:val="center"/>
          </w:tcPr>
          <w:p w14:paraId="21043308">
            <w:pPr>
              <w:widowControl/>
              <w:spacing w:after="180"/>
              <w:jc w:val="center"/>
              <w:rPr>
                <w:rFonts w:ascii="仿宋_GB2312" w:eastAsia="仿宋_GB2312"/>
                <w:szCs w:val="21"/>
              </w:rPr>
            </w:pPr>
            <w:r>
              <w:rPr>
                <w:rFonts w:hint="eastAsia" w:ascii="仿宋_GB2312" w:eastAsia="仿宋_GB2312"/>
                <w:szCs w:val="21"/>
              </w:rPr>
              <w:t>0</w:t>
            </w:r>
          </w:p>
        </w:tc>
        <w:tc>
          <w:tcPr>
            <w:tcW w:w="851" w:type="dxa"/>
            <w:tcMar>
              <w:left w:w="108" w:type="dxa"/>
              <w:right w:w="108" w:type="dxa"/>
            </w:tcMar>
            <w:vAlign w:val="center"/>
          </w:tcPr>
          <w:p w14:paraId="1B874DCF">
            <w:pPr>
              <w:widowControl/>
              <w:spacing w:after="180"/>
              <w:jc w:val="center"/>
              <w:rPr>
                <w:rFonts w:ascii="仿宋_GB2312" w:eastAsia="仿宋_GB2312"/>
                <w:szCs w:val="21"/>
              </w:rPr>
            </w:pPr>
            <w:r>
              <w:rPr>
                <w:rFonts w:hint="eastAsia" w:ascii="仿宋_GB2312" w:eastAsia="仿宋_GB2312"/>
                <w:szCs w:val="21"/>
              </w:rPr>
              <w:t>0</w:t>
            </w:r>
          </w:p>
        </w:tc>
      </w:tr>
    </w:tbl>
    <w:p w14:paraId="300E0EB9">
      <w:pPr>
        <w:pStyle w:val="5"/>
        <w:spacing w:after="0" w:line="600" w:lineRule="exact"/>
        <w:ind w:left="0" w:leftChars="0" w:firstLine="0" w:firstLineChars="0"/>
        <w:rPr>
          <w:rFonts w:hint="eastAsia" w:ascii="黑体" w:hAnsi="黑体" w:eastAsia="黑体" w:cs="黑体"/>
          <w:sz w:val="32"/>
          <w:szCs w:val="32"/>
        </w:rPr>
      </w:pPr>
    </w:p>
    <w:p w14:paraId="30139B57">
      <w:pPr>
        <w:pStyle w:val="5"/>
        <w:spacing w:after="0" w:line="600" w:lineRule="exact"/>
        <w:ind w:left="0" w:leftChars="0" w:firstLine="64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CCB24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4DBCC2">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5DCBF8FA">
            <w:pPr>
              <w:widowControl/>
              <w:jc w:val="center"/>
              <w:rPr>
                <w:rFonts w:ascii="黑体" w:hAnsi="黑体" w:eastAsia="黑体"/>
              </w:rPr>
            </w:pPr>
            <w:r>
              <w:rPr>
                <w:rFonts w:ascii="黑体" w:hAnsi="黑体" w:eastAsia="黑体"/>
                <w:kern w:val="0"/>
                <w:sz w:val="20"/>
              </w:rPr>
              <w:t>行政诉讼</w:t>
            </w:r>
          </w:p>
        </w:tc>
      </w:tr>
      <w:tr w14:paraId="12EC13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5F31610">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01392D4A">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14:paraId="463FFCA9">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1498F589">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12A091B9">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49BFF7E0">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7D931633">
            <w:pPr>
              <w:widowControl/>
              <w:spacing w:line="320" w:lineRule="exact"/>
              <w:jc w:val="center"/>
              <w:rPr>
                <w:rFonts w:ascii="黑体" w:hAnsi="黑体" w:eastAsia="黑体"/>
                <w:kern w:val="0"/>
                <w:sz w:val="20"/>
              </w:rPr>
            </w:pPr>
            <w:r>
              <w:rPr>
                <w:rFonts w:ascii="黑体" w:hAnsi="黑体" w:eastAsia="黑体"/>
                <w:kern w:val="0"/>
                <w:sz w:val="20"/>
              </w:rPr>
              <w:t>总</w:t>
            </w:r>
          </w:p>
          <w:p w14:paraId="4E856E9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1AF59FC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4CAC701C">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6FE1C9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FC06033">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14:paraId="50ADBF5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42B147F1">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3AD9F3C9">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5949BB0">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14:paraId="56512E1D">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14:paraId="6EDC252E">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3537D889">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44C63B37">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6EE767C9">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50561F7F">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35437EA0">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C1E8987">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6076AC50">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03290EB">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8A047F4">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44B4999A">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62A3376A">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234DD9DE">
            <w:pPr>
              <w:widowControl/>
              <w:jc w:val="center"/>
              <w:rPr>
                <w:rFonts w:ascii="黑体" w:hAnsi="黑体" w:eastAsia="黑体"/>
              </w:rPr>
            </w:pPr>
            <w:r>
              <w:rPr>
                <w:rFonts w:ascii="黑体" w:hAnsi="黑体" w:eastAsia="黑体"/>
                <w:kern w:val="0"/>
                <w:sz w:val="20"/>
              </w:rPr>
              <w:t>总计</w:t>
            </w:r>
          </w:p>
        </w:tc>
      </w:tr>
      <w:tr w14:paraId="542807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14:paraId="2C3393FC">
            <w:pPr>
              <w:widowControl/>
              <w:spacing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489CE95F">
            <w:pPr>
              <w:widowControl/>
              <w:spacing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441805A5">
            <w:pPr>
              <w:widowControl/>
              <w:spacing w:after="180"/>
              <w:jc w:val="center"/>
              <w:rPr>
                <w:rFonts w:hint="eastAsia" w:eastAsia="宋体"/>
                <w:lang w:eastAsia="zh-CN"/>
              </w:rPr>
            </w:pPr>
            <w:r>
              <w:rPr>
                <w:rFonts w:hint="eastAsia"/>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0DB6A5A2">
            <w:pPr>
              <w:widowControl/>
              <w:spacing w:after="180"/>
              <w:jc w:val="center"/>
            </w:pPr>
            <w:r>
              <w:rPr>
                <w:rFonts w:hint="eastAsia"/>
              </w:rPr>
              <w:t>0</w:t>
            </w:r>
          </w:p>
        </w:tc>
        <w:tc>
          <w:tcPr>
            <w:tcW w:w="658" w:type="dxa"/>
            <w:tcBorders>
              <w:top w:val="nil"/>
              <w:left w:val="nil"/>
              <w:bottom w:val="single" w:color="auto" w:sz="8" w:space="0"/>
              <w:right w:val="single" w:color="auto" w:sz="8" w:space="0"/>
            </w:tcBorders>
            <w:tcMar>
              <w:left w:w="108" w:type="dxa"/>
              <w:right w:w="108" w:type="dxa"/>
            </w:tcMar>
            <w:vAlign w:val="center"/>
          </w:tcPr>
          <w:p w14:paraId="096E0A91">
            <w:pPr>
              <w:widowControl/>
              <w:spacing w:after="180"/>
              <w:jc w:val="center"/>
              <w:rPr>
                <w:rFonts w:hint="eastAsia" w:eastAsia="宋体"/>
                <w:lang w:eastAsia="zh-CN"/>
              </w:rPr>
            </w:pPr>
            <w:r>
              <w:rPr>
                <w:rFonts w:hint="eastAsia"/>
                <w:lang w:val="en-US" w:eastAsia="zh-CN"/>
              </w:rPr>
              <w:t>0</w:t>
            </w:r>
          </w:p>
        </w:tc>
        <w:tc>
          <w:tcPr>
            <w:tcW w:w="550" w:type="dxa"/>
            <w:tcBorders>
              <w:top w:val="nil"/>
              <w:left w:val="nil"/>
              <w:bottom w:val="single" w:color="auto" w:sz="8" w:space="0"/>
              <w:right w:val="single" w:color="auto" w:sz="8" w:space="0"/>
            </w:tcBorders>
            <w:tcMar>
              <w:left w:w="108" w:type="dxa"/>
              <w:right w:w="108" w:type="dxa"/>
            </w:tcMar>
            <w:vAlign w:val="center"/>
          </w:tcPr>
          <w:p w14:paraId="796B6B6E">
            <w:pPr>
              <w:widowControl/>
              <w:spacing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1CD1CAF2">
            <w:pPr>
              <w:widowControl/>
              <w:spacing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1A88A0E8">
            <w:pPr>
              <w:widowControl/>
              <w:spacing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813D907">
            <w:pPr>
              <w:widowControl/>
              <w:spacing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3DC2FCC1">
            <w:pPr>
              <w:widowControl/>
              <w:spacing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2F743E20">
            <w:pPr>
              <w:widowControl/>
              <w:spacing w:after="180"/>
              <w:ind w:firstLine="210" w:firstLineChars="100"/>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F0C7084">
            <w:pPr>
              <w:widowControl/>
              <w:spacing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7A06A2E4">
            <w:pPr>
              <w:widowControl/>
              <w:spacing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07F3EEF3">
            <w:pPr>
              <w:widowControl/>
              <w:spacing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0AF1126D">
            <w:pPr>
              <w:widowControl/>
              <w:spacing w:after="180"/>
              <w:jc w:val="center"/>
            </w:pPr>
            <w:r>
              <w:rPr>
                <w:rFonts w:hint="eastAsia"/>
              </w:rPr>
              <w:t>0</w:t>
            </w:r>
          </w:p>
        </w:tc>
      </w:tr>
    </w:tbl>
    <w:p w14:paraId="45AAACD6">
      <w:pPr>
        <w:pStyle w:val="5"/>
        <w:spacing w:after="0" w:line="600" w:lineRule="exact"/>
        <w:ind w:left="0" w:leftChars="0" w:firstLine="640"/>
        <w:rPr>
          <w:rFonts w:ascii="黑体" w:hAnsi="黑体" w:eastAsia="黑体" w:cs="黑体"/>
          <w:sz w:val="32"/>
          <w:szCs w:val="32"/>
        </w:rPr>
      </w:pPr>
      <w:r>
        <w:rPr>
          <w:rFonts w:ascii="黑体" w:hAnsi="黑体" w:eastAsia="黑体" w:cs="黑体"/>
          <w:sz w:val="32"/>
          <w:szCs w:val="32"/>
        </w:rPr>
        <w:t>五、存在的主要问题及改进情况</w:t>
      </w:r>
    </w:p>
    <w:p w14:paraId="3634B55D">
      <w:pPr>
        <w:pStyle w:val="5"/>
        <w:spacing w:after="0" w:line="600" w:lineRule="exact"/>
        <w:ind w:left="0" w:leftChars="0" w:firstLine="640"/>
        <w:rPr>
          <w:rFonts w:ascii="仿宋_GB2312" w:hAnsi="仿宋_GB2312" w:eastAsia="仿宋_GB2312" w:cs="仿宋_GB2312"/>
          <w:sz w:val="32"/>
          <w:szCs w:val="32"/>
        </w:rPr>
      </w:pPr>
      <w:r>
        <w:rPr>
          <w:rFonts w:hint="eastAsia" w:ascii="仿宋_GB2312" w:hAnsi="宋体" w:eastAsia="仿宋_GB2312" w:cs="仿宋_GB2312"/>
          <w:color w:val="000000"/>
          <w:sz w:val="32"/>
          <w:szCs w:val="32"/>
          <w:shd w:val="clear" w:color="auto" w:fill="FFFFFF"/>
          <w:lang w:val="en-US" w:eastAsia="zh-CN"/>
        </w:rPr>
        <w:t>一</w:t>
      </w:r>
      <w:r>
        <w:rPr>
          <w:rFonts w:ascii="仿宋_GB2312" w:hAnsi="宋体" w:eastAsia="仿宋_GB2312" w:cs="仿宋_GB2312"/>
          <w:color w:val="000000"/>
          <w:sz w:val="32"/>
          <w:szCs w:val="32"/>
          <w:shd w:val="clear" w:color="auto" w:fill="FFFFFF"/>
        </w:rPr>
        <w:t>是</w:t>
      </w:r>
      <w:r>
        <w:rPr>
          <w:rFonts w:hint="eastAsia" w:ascii="仿宋_GB2312" w:hAnsi="宋体" w:eastAsia="仿宋_GB2312" w:cs="仿宋_GB2312"/>
          <w:color w:val="000000"/>
          <w:sz w:val="32"/>
          <w:szCs w:val="32"/>
          <w:shd w:val="clear" w:color="auto" w:fill="FFFFFF"/>
          <w:lang w:val="en-US" w:eastAsia="zh-CN"/>
        </w:rPr>
        <w:t>政务公开主动性不强，信息公开不及时。</w:t>
      </w:r>
      <w:r>
        <w:rPr>
          <w:rFonts w:ascii="仿宋_GB2312" w:hAnsi="宋体" w:eastAsia="仿宋_GB2312" w:cs="仿宋_GB2312"/>
          <w:i w:val="0"/>
          <w:iCs w:val="0"/>
          <w:caps w:val="0"/>
          <w:color w:val="000000"/>
          <w:spacing w:val="0"/>
          <w:sz w:val="32"/>
          <w:szCs w:val="32"/>
          <w:shd w:val="clear" w:fill="FFFFFF"/>
        </w:rPr>
        <w:t>二是缺乏专业人才，</w:t>
      </w:r>
      <w:r>
        <w:rPr>
          <w:rFonts w:hint="eastAsia" w:ascii="仿宋_GB2312" w:hAnsi="宋体" w:eastAsia="仿宋_GB2312" w:cs="仿宋_GB2312"/>
          <w:i w:val="0"/>
          <w:iCs w:val="0"/>
          <w:caps w:val="0"/>
          <w:color w:val="000000"/>
          <w:spacing w:val="0"/>
          <w:sz w:val="32"/>
          <w:szCs w:val="32"/>
        </w:rPr>
        <w:t>人手不足专业化水平较差</w:t>
      </w:r>
      <w:r>
        <w:rPr>
          <w:rFonts w:hint="eastAsia" w:ascii="仿宋_GB2312" w:hAnsi="宋体" w:eastAsia="仿宋_GB2312" w:cs="仿宋_GB2312"/>
          <w:color w:val="000000"/>
          <w:sz w:val="32"/>
          <w:szCs w:val="32"/>
          <w:shd w:val="clear" w:color="auto" w:fill="FFFFFF"/>
        </w:rPr>
        <w:t>。</w:t>
      </w:r>
      <w:r>
        <w:rPr>
          <w:rFonts w:hint="eastAsia" w:ascii="仿宋_GB2312" w:hAnsi="仿宋_GB2312" w:eastAsia="仿宋_GB2312" w:cs="仿宋_GB2312"/>
          <w:sz w:val="32"/>
          <w:szCs w:val="32"/>
        </w:rPr>
        <w:t>结合以上不足，我局将采取以下措施完善信息公开工作：</w:t>
      </w:r>
    </w:p>
    <w:p w14:paraId="5E42F8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是加强信息公开主阵地建设，加大信息报送力度，增强信息发布时效性，建立互动、方便、及时的信息发布机制，主动回应社会。</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提升队伍素质。着力解决人手紧张问题，增强专业化程度</w:t>
      </w:r>
      <w:r>
        <w:rPr>
          <w:rFonts w:hint="eastAsia" w:ascii="仿宋_GB2312" w:hAnsi="仿宋_GB2312" w:eastAsia="仿宋_GB2312" w:cs="仿宋_GB2312"/>
          <w:sz w:val="32"/>
          <w:szCs w:val="32"/>
        </w:rPr>
        <w:t>。</w:t>
      </w:r>
    </w:p>
    <w:p w14:paraId="282C6844">
      <w:pPr>
        <w:pStyle w:val="5"/>
        <w:spacing w:after="0" w:line="600" w:lineRule="exact"/>
        <w:ind w:left="0" w:leftChars="0" w:firstLine="640"/>
        <w:rPr>
          <w:rFonts w:hint="eastAsia" w:ascii="仿宋_GB2312" w:hAnsi="仿宋_GB2312" w:eastAsia="仿宋_GB2312" w:cs="仿宋_GB2312"/>
          <w:sz w:val="32"/>
          <w:szCs w:val="32"/>
        </w:rPr>
      </w:pPr>
      <w:r>
        <w:rPr>
          <w:rFonts w:hint="eastAsia" w:ascii="黑体" w:hAnsi="黑体" w:eastAsia="黑体" w:cs="黑体"/>
          <w:sz w:val="32"/>
          <w:szCs w:val="32"/>
        </w:rPr>
        <w:t>六、其他需要报告的事项</w:t>
      </w:r>
    </w:p>
    <w:p w14:paraId="2A478203">
      <w:pPr>
        <w:pStyle w:val="5"/>
        <w:spacing w:after="0" w:line="60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本年度政府信息公开申请未达到《政府信息公开信息处理费管理办法》（国办函〔2020〕109号）第四条、第五条所规定的信息处理费收费标准，故未收取信息处理费。</w:t>
      </w:r>
    </w:p>
    <w:p w14:paraId="4457D591">
      <w:pPr>
        <w:pStyle w:val="5"/>
        <w:spacing w:after="0" w:line="60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落实上级政务公开重点工作情况</w:t>
      </w:r>
      <w:r>
        <w:rPr>
          <w:rFonts w:hint="eastAsia" w:ascii="仿宋_GB2312" w:hAnsi="仿宋_GB2312" w:eastAsia="仿宋_GB2312" w:cs="仿宋_GB2312"/>
          <w:color w:val="000000"/>
          <w:sz w:val="32"/>
          <w:szCs w:val="32"/>
        </w:rPr>
        <w:t>。根据《202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年枣庄市政务公开工作要点》要求，结合高新区实际，及时制定202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年政务公开工作实施方案。将各部门政策发</w:t>
      </w:r>
      <w:r>
        <w:rPr>
          <w:rFonts w:hint="eastAsia" w:ascii="仿宋_GB2312" w:hAnsi="仿宋_GB2312" w:eastAsia="仿宋_GB2312" w:cs="仿宋_GB2312"/>
          <w:sz w:val="32"/>
          <w:szCs w:val="32"/>
        </w:rPr>
        <w:t>布解读与回应、政民互动、网站和政务新媒体运行等内容纳入日常考核范围，按季度定期监测进行通报，推进政务公开工作常态化开展，确保责任公开事项落实到位。及时公开财政信息、重大项目建设等重点领域信息，畅通群众获取政府信息的渠道。持续推进基层政务公开标准化规范化，全面梳理细化相关领域政务公开事项，明确具体事项的公开标准，制作主动公开基本目录清单等工作，促进高新区政务公开工作提质增效。</w:t>
      </w:r>
    </w:p>
    <w:p w14:paraId="0CD0AF84">
      <w:pPr>
        <w:pStyle w:val="5"/>
        <w:spacing w:after="0" w:line="60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3.本行政机关人大代表建议和政协提案办理结果公开情况。2025年全年接到市人大常委会交办的人大代表建议办理工作0件，收到市政协会议提案0件。</w:t>
      </w:r>
    </w:p>
    <w:p w14:paraId="4FDF3135">
      <w:pPr>
        <w:pStyle w:val="5"/>
        <w:spacing w:after="0" w:line="600" w:lineRule="exact"/>
        <w:ind w:left="0" w:leftChars="0"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highlight w:val="none"/>
          <w:lang w:val="en-US" w:eastAsia="zh-CN" w:bidi="ar-SA"/>
        </w:rPr>
        <w:t>创新实践情况：2025年，我局</w:t>
      </w:r>
      <w:r>
        <w:rPr>
          <w:rFonts w:hint="eastAsia" w:ascii="仿宋_GB2312" w:hAnsi="仿宋_GB2312" w:eastAsia="仿宋_GB2312" w:cs="仿宋_GB2312"/>
          <w:sz w:val="32"/>
          <w:szCs w:val="32"/>
        </w:rPr>
        <w:t>逐步推动政务公开电子化。充分利用政府网站、政务新媒体加大宣传力度，扩大政府公报知晓度和影响力。提供word或PDF等多格式下载，方便群众查阅。</w:t>
      </w:r>
    </w:p>
    <w:p w14:paraId="088E2517">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2"/>
          <w:sz w:val="32"/>
          <w:szCs w:val="32"/>
          <w:highlight w:val="none"/>
          <w:lang w:val="en-US" w:eastAsia="zh-CN" w:bidi="ar-SA"/>
        </w:rPr>
        <w:t>本行政机关政府信息公开工作年度报告数据统计需要说明的事项。本报告中所列数据的统计时限为2025年1月1日至2025年12月31日。</w:t>
      </w:r>
    </w:p>
    <w:p w14:paraId="07C015E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6.本行政机关认为需要报告的其他事项：无。</w:t>
      </w:r>
    </w:p>
    <w:p w14:paraId="7DC705A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7.其他有关文件专门要求通过政府信息公开工作年度报告予以报告的事项：无。</w:t>
      </w:r>
    </w:p>
    <w:p w14:paraId="69B1C152">
      <w:pPr>
        <w:rPr>
          <w:rFonts w:hint="eastAsia" w:ascii="仿宋_GB2312" w:hAnsi="仿宋_GB2312" w:eastAsia="仿宋_GB2312" w:cs="仿宋_GB2312"/>
          <w:sz w:val="32"/>
          <w:szCs w:val="32"/>
        </w:rPr>
      </w:pPr>
    </w:p>
    <w:p w14:paraId="1B04A9E7">
      <w:pPr>
        <w:pStyle w:val="5"/>
        <w:rPr>
          <w:rFonts w:hint="default"/>
        </w:rPr>
      </w:pPr>
    </w:p>
    <w:p w14:paraId="0B52DD9E">
      <w:pPr>
        <w:spacing w:line="60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mE4NGNkNmRjNjEyMmQ3MWRmYTYyNmUwN2FkZTAifQ=="/>
  </w:docVars>
  <w:rsids>
    <w:rsidRoot w:val="7BD76FF5"/>
    <w:rsid w:val="002246F8"/>
    <w:rsid w:val="0060313F"/>
    <w:rsid w:val="008773D4"/>
    <w:rsid w:val="00995688"/>
    <w:rsid w:val="09353050"/>
    <w:rsid w:val="0C8310F1"/>
    <w:rsid w:val="0CB97065"/>
    <w:rsid w:val="105E1823"/>
    <w:rsid w:val="12604D05"/>
    <w:rsid w:val="12FB0922"/>
    <w:rsid w:val="13715F4A"/>
    <w:rsid w:val="14CE769B"/>
    <w:rsid w:val="16496C3D"/>
    <w:rsid w:val="168C53A2"/>
    <w:rsid w:val="17C97A33"/>
    <w:rsid w:val="1946389F"/>
    <w:rsid w:val="1B3757D2"/>
    <w:rsid w:val="1D1F4EB4"/>
    <w:rsid w:val="276B3214"/>
    <w:rsid w:val="2A5031AE"/>
    <w:rsid w:val="2B603075"/>
    <w:rsid w:val="2C7E7C57"/>
    <w:rsid w:val="2F4D17B1"/>
    <w:rsid w:val="31CE3307"/>
    <w:rsid w:val="32430EAB"/>
    <w:rsid w:val="329D3D7F"/>
    <w:rsid w:val="33704071"/>
    <w:rsid w:val="37053DC6"/>
    <w:rsid w:val="376C43C0"/>
    <w:rsid w:val="3ABF6441"/>
    <w:rsid w:val="3E9308CA"/>
    <w:rsid w:val="41B3131D"/>
    <w:rsid w:val="454F1D39"/>
    <w:rsid w:val="45A34105"/>
    <w:rsid w:val="468C4AA7"/>
    <w:rsid w:val="4DE205A2"/>
    <w:rsid w:val="4E3C57DD"/>
    <w:rsid w:val="4EFC389E"/>
    <w:rsid w:val="51121C5D"/>
    <w:rsid w:val="548E1F89"/>
    <w:rsid w:val="57F7199A"/>
    <w:rsid w:val="584C1A17"/>
    <w:rsid w:val="5C0A0EC1"/>
    <w:rsid w:val="5C1714AC"/>
    <w:rsid w:val="5CBA05C5"/>
    <w:rsid w:val="5CF15AA6"/>
    <w:rsid w:val="5DC911AA"/>
    <w:rsid w:val="5EE77BE8"/>
    <w:rsid w:val="5F0463B3"/>
    <w:rsid w:val="5FD611B6"/>
    <w:rsid w:val="5FFB0941"/>
    <w:rsid w:val="60882DDF"/>
    <w:rsid w:val="60957AFE"/>
    <w:rsid w:val="67C94954"/>
    <w:rsid w:val="67FB4C27"/>
    <w:rsid w:val="6AA53CD3"/>
    <w:rsid w:val="6B571F13"/>
    <w:rsid w:val="6B6712DB"/>
    <w:rsid w:val="6E2A65EF"/>
    <w:rsid w:val="70A50D8C"/>
    <w:rsid w:val="71C329B0"/>
    <w:rsid w:val="741C3CB1"/>
    <w:rsid w:val="779C0950"/>
    <w:rsid w:val="780F6A4F"/>
    <w:rsid w:val="789F1986"/>
    <w:rsid w:val="7B0D70C3"/>
    <w:rsid w:val="7B5E7A00"/>
    <w:rsid w:val="7BD76FF5"/>
    <w:rsid w:val="7FFA2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autoRedefine/>
    <w:qFormat/>
    <w:uiPriority w:val="0"/>
    <w:pPr>
      <w:jc w:val="left"/>
    </w:pPr>
    <w:rPr>
      <w:kern w:val="0"/>
      <w:sz w:val="24"/>
    </w:rPr>
  </w:style>
  <w:style w:type="paragraph" w:styleId="5">
    <w:name w:val="Body Text First Indent 2"/>
    <w:basedOn w:val="2"/>
    <w:next w:val="1"/>
    <w:autoRedefine/>
    <w:unhideWhenUsed/>
    <w:qFormat/>
    <w:uiPriority w:val="99"/>
    <w:pPr>
      <w:ind w:firstLine="420" w:firstLineChars="200"/>
    </w:p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2872</Words>
  <Characters>3009</Characters>
  <Lines>21</Lines>
  <Paragraphs>6</Paragraphs>
  <TotalTime>367</TotalTime>
  <ScaleCrop>false</ScaleCrop>
  <LinksUpToDate>false</LinksUpToDate>
  <CharactersWithSpaces>3010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2022-01-17T08:07:00Z</dcterms:created>
  <dc:creator>御</dc:creator>
  <cp:lastModifiedBy>Nicole 牛</cp:lastModifiedBy>
  <cp:lastPrinted>2024-01-26T02:20:00Z</cp:lastPrinted>
  <dcterms:modified xsi:type="dcterms:W3CDTF">2026-01-28T02:14:45Z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FCDE93A5EBB74C3DBB71FF1039AA4EAA</vt:lpwstr>
  </property>
  <property fmtid="{D5CDD505-2E9C-101B-9397-08002B2CF9AE}" pid="4" name="KSOTemplateDocerSaveRecord">
    <vt:lpwstr>eyJoZGlkIjoiOGJkZWNmZWFmMDVmYTFmOTM0NWM4ZWYzMWRiMzA2NjgiLCJ1c2VySWQiOiIyNDIzNTY3MTcifQ==</vt:lpwstr>
  </property>
</Properties>
</file>