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D4D2FD">
      <w:pPr>
        <w:pStyle w:val="2"/>
        <w:keepNext w:val="0"/>
        <w:keepLines w:val="0"/>
        <w:widowControl/>
        <w:suppressLineNumbers w:val="0"/>
        <w:spacing w:before="0" w:beforeAutospacing="0" w:line="555" w:lineRule="atLeast"/>
        <w:ind w:left="0" w:firstLine="645"/>
        <w:rPr>
          <w:rFonts w:ascii="sans-serif" w:hAnsi="sans-serif" w:eastAsia="sans-serif" w:cs="sans-serif"/>
          <w:i w:val="0"/>
          <w:iCs w:val="0"/>
          <w:caps w:val="0"/>
          <w:color w:val="000000"/>
          <w:spacing w:val="0"/>
          <w:sz w:val="32"/>
          <w:szCs w:val="32"/>
        </w:rPr>
      </w:pPr>
      <w:r>
        <w:rPr>
          <w:rFonts w:ascii="仿宋_GB2312" w:hAnsi="Times New Roman" w:eastAsia="仿宋_GB2312" w:cs="仿宋_GB2312"/>
          <w:i w:val="0"/>
          <w:iCs w:val="0"/>
          <w:caps w:val="0"/>
          <w:color w:val="000000"/>
          <w:spacing w:val="0"/>
          <w:sz w:val="32"/>
          <w:szCs w:val="32"/>
        </w:rPr>
        <w:t>本报告根据《中华人民共和国政府信息公开条例》《中华人民共和国政府信息公开工作年度报告格式》的通知（国办公开办函〔</w:t>
      </w:r>
      <w:r>
        <w:rPr>
          <w:rFonts w:hint="default" w:ascii="Times New Roman" w:hAnsi="Times New Roman" w:eastAsia="sans-serif" w:cs="Times New Roman"/>
          <w:i w:val="0"/>
          <w:iCs w:val="0"/>
          <w:caps w:val="0"/>
          <w:color w:val="000000"/>
          <w:spacing w:val="0"/>
          <w:sz w:val="32"/>
          <w:szCs w:val="32"/>
        </w:rPr>
        <w:t>2021</w:t>
      </w:r>
      <w:r>
        <w:rPr>
          <w:rFonts w:hint="default" w:ascii="仿宋_GB2312" w:hAnsi="Times New Roman" w:eastAsia="仿宋_GB2312" w:cs="仿宋_GB2312"/>
          <w:i w:val="0"/>
          <w:iCs w:val="0"/>
          <w:caps w:val="0"/>
          <w:color w:val="000000"/>
          <w:spacing w:val="0"/>
          <w:sz w:val="32"/>
          <w:szCs w:val="32"/>
        </w:rPr>
        <w:t>〕</w:t>
      </w:r>
      <w:r>
        <w:rPr>
          <w:rFonts w:hint="default" w:ascii="Times New Roman" w:hAnsi="Times New Roman" w:eastAsia="sans-serif" w:cs="Times New Roman"/>
          <w:i w:val="0"/>
          <w:iCs w:val="0"/>
          <w:caps w:val="0"/>
          <w:color w:val="000000"/>
          <w:spacing w:val="0"/>
          <w:sz w:val="32"/>
          <w:szCs w:val="32"/>
        </w:rPr>
        <w:t>30</w:t>
      </w:r>
      <w:r>
        <w:rPr>
          <w:rFonts w:hint="default" w:ascii="仿宋_GB2312" w:hAnsi="Times New Roman" w:eastAsia="仿宋_GB2312" w:cs="仿宋_GB2312"/>
          <w:i w:val="0"/>
          <w:iCs w:val="0"/>
          <w:caps w:val="0"/>
          <w:color w:val="000000"/>
          <w:spacing w:val="0"/>
          <w:sz w:val="32"/>
          <w:szCs w:val="32"/>
        </w:rPr>
        <w:t>号）和省、市、区有关工作要求，由</w:t>
      </w:r>
      <w:r>
        <w:rPr>
          <w:rFonts w:hint="default" w:ascii="仿宋_GB2312" w:hAnsi="sans-serif" w:eastAsia="仿宋_GB2312" w:cs="仿宋_GB2312"/>
          <w:i w:val="0"/>
          <w:iCs w:val="0"/>
          <w:caps w:val="0"/>
          <w:color w:val="000000"/>
          <w:spacing w:val="0"/>
          <w:sz w:val="32"/>
          <w:szCs w:val="32"/>
        </w:rPr>
        <w:t>枣庄</w:t>
      </w:r>
      <w:r>
        <w:rPr>
          <w:rFonts w:hint="default" w:ascii="仿宋_GB2312" w:hAnsi="Times New Roman" w:eastAsia="仿宋_GB2312" w:cs="仿宋_GB2312"/>
          <w:i w:val="0"/>
          <w:iCs w:val="0"/>
          <w:caps w:val="0"/>
          <w:color w:val="000000"/>
          <w:spacing w:val="0"/>
          <w:sz w:val="32"/>
          <w:szCs w:val="32"/>
        </w:rPr>
        <w:t>高新投资集团</w:t>
      </w:r>
      <w:r>
        <w:rPr>
          <w:rFonts w:hint="default" w:ascii="仿宋_GB2312" w:hAnsi="sans-serif" w:eastAsia="仿宋_GB2312" w:cs="仿宋_GB2312"/>
          <w:i w:val="0"/>
          <w:iCs w:val="0"/>
          <w:caps w:val="0"/>
          <w:color w:val="000000"/>
          <w:spacing w:val="0"/>
          <w:sz w:val="32"/>
          <w:szCs w:val="32"/>
        </w:rPr>
        <w:t>有限公司</w:t>
      </w:r>
      <w:r>
        <w:rPr>
          <w:rFonts w:hint="default" w:ascii="仿宋_GB2312" w:hAnsi="Times New Roman" w:eastAsia="仿宋_GB2312" w:cs="仿宋_GB2312"/>
          <w:i w:val="0"/>
          <w:iCs w:val="0"/>
          <w:caps w:val="0"/>
          <w:color w:val="000000"/>
          <w:spacing w:val="0"/>
          <w:sz w:val="32"/>
          <w:szCs w:val="32"/>
        </w:rPr>
        <w:t>编制。全文包括</w:t>
      </w:r>
      <w:r>
        <w:rPr>
          <w:rFonts w:hint="default" w:ascii="Times New Roman" w:hAnsi="Times New Roman" w:eastAsia="sans-serif" w:cs="Times New Roman"/>
          <w:i w:val="0"/>
          <w:iCs w:val="0"/>
          <w:caps w:val="0"/>
          <w:color w:val="000000"/>
          <w:spacing w:val="0"/>
          <w:sz w:val="32"/>
          <w:szCs w:val="32"/>
        </w:rPr>
        <w:t>202</w:t>
      </w:r>
      <w:r>
        <w:rPr>
          <w:rFonts w:hint="default" w:ascii="Times New Roman" w:hAnsi="Times New Roman" w:eastAsia="仿宋_GB2312" w:cs="Times New Roman"/>
          <w:i w:val="0"/>
          <w:iCs w:val="0"/>
          <w:caps w:val="0"/>
          <w:color w:val="000000"/>
          <w:spacing w:val="0"/>
          <w:sz w:val="32"/>
          <w:szCs w:val="32"/>
        </w:rPr>
        <w:t>5</w:t>
      </w:r>
      <w:r>
        <w:rPr>
          <w:rFonts w:hint="default" w:ascii="仿宋_GB2312" w:hAnsi="Times New Roman" w:eastAsia="仿宋_GB2312" w:cs="仿宋_GB2312"/>
          <w:i w:val="0"/>
          <w:iCs w:val="0"/>
          <w:caps w:val="0"/>
          <w:color w:val="000000"/>
          <w:spacing w:val="0"/>
          <w:sz w:val="32"/>
          <w:szCs w:val="32"/>
        </w:rPr>
        <w:t>年政府信息公开工作要点落实情况，主动公开政府信息情况，回应解读情况，依申请公开情况，政府信息公开行政复议、行政诉讼和投诉情况，存在的主要问题及改进措施等。本报告所列数据的统计时限自</w:t>
      </w:r>
      <w:r>
        <w:rPr>
          <w:rFonts w:hint="default" w:ascii="Times New Roman" w:hAnsi="Times New Roman" w:eastAsia="sans-serif" w:cs="Times New Roman"/>
          <w:i w:val="0"/>
          <w:iCs w:val="0"/>
          <w:caps w:val="0"/>
          <w:color w:val="000000"/>
          <w:spacing w:val="0"/>
          <w:sz w:val="32"/>
          <w:szCs w:val="32"/>
        </w:rPr>
        <w:t>202</w:t>
      </w:r>
      <w:r>
        <w:rPr>
          <w:rFonts w:hint="default" w:ascii="Times New Roman" w:hAnsi="Times New Roman" w:eastAsia="仿宋_GB2312" w:cs="Times New Roman"/>
          <w:i w:val="0"/>
          <w:iCs w:val="0"/>
          <w:caps w:val="0"/>
          <w:color w:val="000000"/>
          <w:spacing w:val="0"/>
          <w:sz w:val="32"/>
          <w:szCs w:val="32"/>
        </w:rPr>
        <w:t>5</w:t>
      </w:r>
      <w:r>
        <w:rPr>
          <w:rFonts w:hint="default" w:ascii="仿宋_GB2312" w:hAnsi="Times New Roman" w:eastAsia="仿宋_GB2312" w:cs="仿宋_GB2312"/>
          <w:i w:val="0"/>
          <w:iCs w:val="0"/>
          <w:caps w:val="0"/>
          <w:color w:val="000000"/>
          <w:spacing w:val="0"/>
          <w:sz w:val="32"/>
          <w:szCs w:val="32"/>
        </w:rPr>
        <w:t>年</w:t>
      </w:r>
      <w:r>
        <w:rPr>
          <w:rFonts w:hint="default" w:ascii="Times New Roman" w:hAnsi="Times New Roman" w:eastAsia="sans-serif" w:cs="Times New Roman"/>
          <w:i w:val="0"/>
          <w:iCs w:val="0"/>
          <w:caps w:val="0"/>
          <w:color w:val="000000"/>
          <w:spacing w:val="0"/>
          <w:sz w:val="32"/>
          <w:szCs w:val="32"/>
        </w:rPr>
        <w:t>1</w:t>
      </w:r>
      <w:r>
        <w:rPr>
          <w:rFonts w:hint="default" w:ascii="仿宋_GB2312" w:hAnsi="Times New Roman" w:eastAsia="仿宋_GB2312" w:cs="仿宋_GB2312"/>
          <w:i w:val="0"/>
          <w:iCs w:val="0"/>
          <w:caps w:val="0"/>
          <w:color w:val="000000"/>
          <w:spacing w:val="0"/>
          <w:sz w:val="32"/>
          <w:szCs w:val="32"/>
        </w:rPr>
        <w:t>月</w:t>
      </w:r>
      <w:r>
        <w:rPr>
          <w:rFonts w:hint="default" w:ascii="Times New Roman" w:hAnsi="Times New Roman" w:eastAsia="sans-serif" w:cs="Times New Roman"/>
          <w:i w:val="0"/>
          <w:iCs w:val="0"/>
          <w:caps w:val="0"/>
          <w:color w:val="000000"/>
          <w:spacing w:val="0"/>
          <w:sz w:val="32"/>
          <w:szCs w:val="32"/>
        </w:rPr>
        <w:t>1</w:t>
      </w:r>
      <w:r>
        <w:rPr>
          <w:rFonts w:hint="default" w:ascii="仿宋_GB2312" w:hAnsi="Times New Roman" w:eastAsia="仿宋_GB2312" w:cs="仿宋_GB2312"/>
          <w:i w:val="0"/>
          <w:iCs w:val="0"/>
          <w:caps w:val="0"/>
          <w:color w:val="000000"/>
          <w:spacing w:val="0"/>
          <w:sz w:val="32"/>
          <w:szCs w:val="32"/>
        </w:rPr>
        <w:t>日至</w:t>
      </w:r>
      <w:r>
        <w:rPr>
          <w:rFonts w:hint="default" w:ascii="Times New Roman" w:hAnsi="Times New Roman" w:eastAsia="sans-serif" w:cs="Times New Roman"/>
          <w:i w:val="0"/>
          <w:iCs w:val="0"/>
          <w:caps w:val="0"/>
          <w:color w:val="000000"/>
          <w:spacing w:val="0"/>
          <w:sz w:val="32"/>
          <w:szCs w:val="32"/>
        </w:rPr>
        <w:t>202</w:t>
      </w:r>
      <w:r>
        <w:rPr>
          <w:rFonts w:hint="default" w:ascii="Times New Roman" w:hAnsi="Times New Roman" w:eastAsia="仿宋_GB2312" w:cs="Times New Roman"/>
          <w:i w:val="0"/>
          <w:iCs w:val="0"/>
          <w:caps w:val="0"/>
          <w:color w:val="000000"/>
          <w:spacing w:val="0"/>
          <w:sz w:val="32"/>
          <w:szCs w:val="32"/>
        </w:rPr>
        <w:t>5</w:t>
      </w:r>
      <w:r>
        <w:rPr>
          <w:rFonts w:hint="default" w:ascii="仿宋_GB2312" w:hAnsi="Times New Roman" w:eastAsia="仿宋_GB2312" w:cs="仿宋_GB2312"/>
          <w:i w:val="0"/>
          <w:iCs w:val="0"/>
          <w:caps w:val="0"/>
          <w:color w:val="000000"/>
          <w:spacing w:val="0"/>
          <w:sz w:val="32"/>
          <w:szCs w:val="32"/>
        </w:rPr>
        <w:t>年</w:t>
      </w:r>
      <w:r>
        <w:rPr>
          <w:rFonts w:hint="default" w:ascii="Times New Roman" w:hAnsi="Times New Roman" w:eastAsia="sans-serif" w:cs="Times New Roman"/>
          <w:i w:val="0"/>
          <w:iCs w:val="0"/>
          <w:caps w:val="0"/>
          <w:color w:val="000000"/>
          <w:spacing w:val="0"/>
          <w:sz w:val="32"/>
          <w:szCs w:val="32"/>
        </w:rPr>
        <w:t>12</w:t>
      </w:r>
      <w:r>
        <w:rPr>
          <w:rFonts w:hint="default" w:ascii="仿宋_GB2312" w:hAnsi="Times New Roman" w:eastAsia="仿宋_GB2312" w:cs="仿宋_GB2312"/>
          <w:i w:val="0"/>
          <w:iCs w:val="0"/>
          <w:caps w:val="0"/>
          <w:color w:val="000000"/>
          <w:spacing w:val="0"/>
          <w:sz w:val="32"/>
          <w:szCs w:val="32"/>
        </w:rPr>
        <w:t>月</w:t>
      </w:r>
      <w:r>
        <w:rPr>
          <w:rFonts w:hint="default" w:ascii="Times New Roman" w:hAnsi="Times New Roman" w:eastAsia="sans-serif" w:cs="Times New Roman"/>
          <w:i w:val="0"/>
          <w:iCs w:val="0"/>
          <w:caps w:val="0"/>
          <w:color w:val="000000"/>
          <w:spacing w:val="0"/>
          <w:sz w:val="32"/>
          <w:szCs w:val="32"/>
        </w:rPr>
        <w:t>31</w:t>
      </w:r>
      <w:r>
        <w:rPr>
          <w:rFonts w:hint="default" w:ascii="仿宋_GB2312" w:hAnsi="Times New Roman" w:eastAsia="仿宋_GB2312" w:cs="仿宋_GB2312"/>
          <w:i w:val="0"/>
          <w:iCs w:val="0"/>
          <w:caps w:val="0"/>
          <w:color w:val="000000"/>
          <w:spacing w:val="0"/>
          <w:sz w:val="32"/>
          <w:szCs w:val="32"/>
        </w:rPr>
        <w:t>日。本报告全文将在枣庄高新区官网（</w:t>
      </w:r>
      <w:r>
        <w:rPr>
          <w:rFonts w:hint="default" w:ascii="Times New Roman" w:hAnsi="Times New Roman" w:eastAsia="sans-serif" w:cs="Times New Roman"/>
          <w:i w:val="0"/>
          <w:iCs w:val="0"/>
          <w:caps w:val="0"/>
          <w:color w:val="000000"/>
          <w:spacing w:val="0"/>
          <w:sz w:val="32"/>
          <w:szCs w:val="32"/>
        </w:rPr>
        <w:t>http://www.zzctp.gov.cn/</w:t>
      </w:r>
      <w:r>
        <w:rPr>
          <w:rFonts w:hint="default" w:ascii="仿宋_GB2312" w:hAnsi="Times New Roman" w:eastAsia="仿宋_GB2312" w:cs="仿宋_GB2312"/>
          <w:i w:val="0"/>
          <w:iCs w:val="0"/>
          <w:caps w:val="0"/>
          <w:color w:val="000000"/>
          <w:spacing w:val="0"/>
          <w:sz w:val="32"/>
          <w:szCs w:val="32"/>
        </w:rPr>
        <w:t>）</w:t>
      </w:r>
      <w:r>
        <w:rPr>
          <w:rFonts w:hint="default" w:ascii="Times New Roman" w:hAnsi="Times New Roman" w:eastAsia="sans-serif" w:cs="Times New Roman"/>
          <w:i w:val="0"/>
          <w:iCs w:val="0"/>
          <w:caps w:val="0"/>
          <w:color w:val="000000"/>
          <w:spacing w:val="0"/>
          <w:sz w:val="32"/>
          <w:szCs w:val="32"/>
        </w:rPr>
        <w:t>“</w:t>
      </w:r>
      <w:r>
        <w:rPr>
          <w:rFonts w:hint="default" w:ascii="仿宋_GB2312" w:hAnsi="Times New Roman" w:eastAsia="仿宋_GB2312" w:cs="仿宋_GB2312"/>
          <w:i w:val="0"/>
          <w:iCs w:val="0"/>
          <w:caps w:val="0"/>
          <w:color w:val="000000"/>
          <w:spacing w:val="0"/>
          <w:sz w:val="32"/>
          <w:szCs w:val="32"/>
        </w:rPr>
        <w:t>政府信息公开年度报告</w:t>
      </w:r>
      <w:r>
        <w:rPr>
          <w:rFonts w:hint="default" w:ascii="Times New Roman" w:hAnsi="Times New Roman" w:eastAsia="sans-serif" w:cs="Times New Roman"/>
          <w:i w:val="0"/>
          <w:iCs w:val="0"/>
          <w:caps w:val="0"/>
          <w:color w:val="000000"/>
          <w:spacing w:val="0"/>
          <w:sz w:val="32"/>
          <w:szCs w:val="32"/>
        </w:rPr>
        <w:t>”</w:t>
      </w:r>
      <w:r>
        <w:rPr>
          <w:rFonts w:hint="default" w:ascii="仿宋_GB2312" w:hAnsi="Times New Roman" w:eastAsia="仿宋_GB2312" w:cs="仿宋_GB2312"/>
          <w:i w:val="0"/>
          <w:iCs w:val="0"/>
          <w:caps w:val="0"/>
          <w:color w:val="000000"/>
          <w:spacing w:val="0"/>
          <w:sz w:val="32"/>
          <w:szCs w:val="32"/>
        </w:rPr>
        <w:t>专栏公布。如对本报告有疑问，请与集团综合管理部联系（联系电话</w:t>
      </w:r>
      <w:r>
        <w:rPr>
          <w:rFonts w:hint="default" w:ascii="Times New Roman" w:hAnsi="Times New Roman" w:eastAsia="sans-serif" w:cs="Times New Roman"/>
          <w:i w:val="0"/>
          <w:iCs w:val="0"/>
          <w:caps w:val="0"/>
          <w:color w:val="000000"/>
          <w:spacing w:val="0"/>
          <w:sz w:val="32"/>
          <w:szCs w:val="32"/>
        </w:rPr>
        <w:t>:0632-8652296</w:t>
      </w:r>
      <w:r>
        <w:rPr>
          <w:rFonts w:hint="default" w:ascii="仿宋_GB2312" w:hAnsi="Times New Roman" w:eastAsia="仿宋_GB2312" w:cs="仿宋_GB2312"/>
          <w:i w:val="0"/>
          <w:iCs w:val="0"/>
          <w:caps w:val="0"/>
          <w:color w:val="000000"/>
          <w:spacing w:val="0"/>
          <w:sz w:val="32"/>
          <w:szCs w:val="32"/>
        </w:rPr>
        <w:t>，电子</w:t>
      </w:r>
      <w:r>
        <w:rPr>
          <w:rFonts w:hint="default" w:ascii="仿宋_GB2312" w:hAnsi="sans-serif" w:eastAsia="仿宋_GB2312" w:cs="仿宋_GB2312"/>
          <w:i w:val="0"/>
          <w:iCs w:val="0"/>
          <w:caps w:val="0"/>
          <w:color w:val="000000"/>
          <w:spacing w:val="0"/>
          <w:sz w:val="32"/>
          <w:szCs w:val="32"/>
        </w:rPr>
        <w:t>邮箱</w:t>
      </w:r>
      <w:r>
        <w:rPr>
          <w:rFonts w:hint="default" w:ascii="Times New Roman" w:hAnsi="Times New Roman" w:eastAsia="仿宋_GB2312" w:cs="Times New Roman"/>
          <w:i w:val="0"/>
          <w:iCs w:val="0"/>
          <w:caps w:val="0"/>
          <w:color w:val="000000"/>
          <w:spacing w:val="0"/>
          <w:sz w:val="32"/>
          <w:szCs w:val="32"/>
        </w:rPr>
        <w:t>gxtzjtwm@163.com</w:t>
      </w:r>
      <w:r>
        <w:rPr>
          <w:rFonts w:hint="default" w:ascii="仿宋_GB2312" w:hAnsi="sans-serif" w:eastAsia="仿宋_GB2312" w:cs="仿宋_GB2312"/>
          <w:i w:val="0"/>
          <w:iCs w:val="0"/>
          <w:caps w:val="0"/>
          <w:color w:val="000000"/>
          <w:spacing w:val="0"/>
          <w:sz w:val="32"/>
          <w:szCs w:val="32"/>
        </w:rPr>
        <w:t>）。</w:t>
      </w:r>
    </w:p>
    <w:p w14:paraId="5DFD53E2">
      <w:pPr>
        <w:pStyle w:val="2"/>
        <w:keepNext w:val="0"/>
        <w:keepLines w:val="0"/>
        <w:widowControl/>
        <w:suppressLineNumbers w:val="0"/>
        <w:spacing w:line="555" w:lineRule="atLeast"/>
        <w:ind w:left="0" w:firstLine="645"/>
        <w:rPr>
          <w:rFonts w:hint="default" w:ascii="sans-serif" w:hAnsi="sans-serif" w:eastAsia="sans-serif" w:cs="sans-serif"/>
          <w:i w:val="0"/>
          <w:iCs w:val="0"/>
          <w:caps w:val="0"/>
          <w:color w:val="000000"/>
          <w:spacing w:val="0"/>
          <w:sz w:val="27"/>
          <w:szCs w:val="27"/>
        </w:rPr>
      </w:pPr>
      <w:r>
        <w:rPr>
          <w:rFonts w:ascii="黑体" w:hAnsi="宋体" w:eastAsia="黑体" w:cs="黑体"/>
          <w:i w:val="0"/>
          <w:iCs w:val="0"/>
          <w:caps w:val="0"/>
          <w:color w:val="000000"/>
          <w:spacing w:val="0"/>
          <w:sz w:val="31"/>
          <w:szCs w:val="31"/>
        </w:rPr>
        <w:t>一、总体情况</w:t>
      </w:r>
    </w:p>
    <w:p w14:paraId="6342A194">
      <w:pPr>
        <w:pStyle w:val="2"/>
        <w:keepNext w:val="0"/>
        <w:keepLines w:val="0"/>
        <w:widowControl/>
        <w:suppressLineNumbers w:val="0"/>
        <w:spacing w:line="555" w:lineRule="atLeast"/>
        <w:ind w:left="0" w:firstLine="645"/>
        <w:rPr>
          <w:rFonts w:hint="default" w:ascii="sans-serif" w:hAnsi="sans-serif" w:eastAsia="sans-serif" w:cs="sans-serif"/>
          <w:i w:val="0"/>
          <w:iCs w:val="0"/>
          <w:caps w:val="0"/>
          <w:color w:val="000000"/>
          <w:spacing w:val="0"/>
          <w:sz w:val="32"/>
          <w:szCs w:val="32"/>
        </w:rPr>
      </w:pPr>
      <w:r>
        <w:rPr>
          <w:rFonts w:hint="default" w:ascii="Times New Roman" w:hAnsi="Times New Roman" w:eastAsia="sans-serif" w:cs="Times New Roman"/>
          <w:i w:val="0"/>
          <w:iCs w:val="0"/>
          <w:caps w:val="0"/>
          <w:color w:val="000000"/>
          <w:spacing w:val="0"/>
          <w:sz w:val="32"/>
          <w:szCs w:val="32"/>
        </w:rPr>
        <w:t>2025</w:t>
      </w:r>
      <w:r>
        <w:rPr>
          <w:rFonts w:hint="default" w:ascii="仿宋_GB2312" w:hAnsi="Times New Roman" w:eastAsia="仿宋_GB2312" w:cs="仿宋_GB2312"/>
          <w:i w:val="0"/>
          <w:iCs w:val="0"/>
          <w:caps w:val="0"/>
          <w:color w:val="000000"/>
          <w:spacing w:val="0"/>
          <w:sz w:val="32"/>
          <w:szCs w:val="32"/>
        </w:rPr>
        <w:t>年，在区党工委、管委会的坚强引领下，</w:t>
      </w:r>
      <w:r>
        <w:rPr>
          <w:rFonts w:hint="default" w:ascii="仿宋_GB2312" w:hAnsi="sans-serif" w:eastAsia="仿宋_GB2312" w:cs="仿宋_GB2312"/>
          <w:i w:val="0"/>
          <w:iCs w:val="0"/>
          <w:caps w:val="0"/>
          <w:color w:val="000000"/>
          <w:spacing w:val="0"/>
          <w:sz w:val="32"/>
          <w:szCs w:val="32"/>
        </w:rPr>
        <w:t>枣庄</w:t>
      </w:r>
      <w:r>
        <w:rPr>
          <w:rFonts w:hint="default" w:ascii="仿宋_GB2312" w:hAnsi="Times New Roman" w:eastAsia="仿宋_GB2312" w:cs="仿宋_GB2312"/>
          <w:i w:val="0"/>
          <w:iCs w:val="0"/>
          <w:caps w:val="0"/>
          <w:color w:val="000000"/>
          <w:spacing w:val="0"/>
          <w:sz w:val="32"/>
          <w:szCs w:val="32"/>
        </w:rPr>
        <w:t>高新投资集团</w:t>
      </w:r>
      <w:r>
        <w:rPr>
          <w:rFonts w:hint="default" w:ascii="仿宋_GB2312" w:hAnsi="sans-serif" w:eastAsia="仿宋_GB2312" w:cs="仿宋_GB2312"/>
          <w:i w:val="0"/>
          <w:iCs w:val="0"/>
          <w:caps w:val="0"/>
          <w:color w:val="000000"/>
          <w:spacing w:val="0"/>
          <w:sz w:val="32"/>
          <w:szCs w:val="32"/>
        </w:rPr>
        <w:t>有限公司</w:t>
      </w:r>
      <w:r>
        <w:rPr>
          <w:rFonts w:hint="default" w:ascii="仿宋_GB2312" w:hAnsi="Times New Roman" w:eastAsia="仿宋_GB2312" w:cs="仿宋_GB2312"/>
          <w:i w:val="0"/>
          <w:iCs w:val="0"/>
          <w:caps w:val="0"/>
          <w:color w:val="000000"/>
          <w:spacing w:val="0"/>
          <w:sz w:val="32"/>
          <w:szCs w:val="32"/>
        </w:rPr>
        <w:t>始终以习近平新时代中国特色社会主义思想为指导，紧紧围绕政务公开中心工作，积极落实各项部署要求，严格恪守</w:t>
      </w:r>
      <w:r>
        <w:rPr>
          <w:rFonts w:hint="default" w:ascii="Times New Roman" w:hAnsi="Times New Roman" w:eastAsia="sans-serif" w:cs="Times New Roman"/>
          <w:i w:val="0"/>
          <w:iCs w:val="0"/>
          <w:caps w:val="0"/>
          <w:color w:val="000000"/>
          <w:spacing w:val="0"/>
          <w:sz w:val="32"/>
          <w:szCs w:val="32"/>
        </w:rPr>
        <w:t>“</w:t>
      </w:r>
      <w:r>
        <w:rPr>
          <w:rFonts w:hint="default" w:ascii="仿宋_GB2312" w:hAnsi="Times New Roman" w:eastAsia="仿宋_GB2312" w:cs="仿宋_GB2312"/>
          <w:i w:val="0"/>
          <w:iCs w:val="0"/>
          <w:caps w:val="0"/>
          <w:color w:val="000000"/>
          <w:spacing w:val="0"/>
          <w:sz w:val="32"/>
          <w:szCs w:val="32"/>
        </w:rPr>
        <w:t>先审查、后公开</w:t>
      </w:r>
      <w:r>
        <w:rPr>
          <w:rFonts w:hint="default" w:ascii="Times New Roman" w:hAnsi="Times New Roman" w:eastAsia="sans-serif" w:cs="Times New Roman"/>
          <w:i w:val="0"/>
          <w:iCs w:val="0"/>
          <w:caps w:val="0"/>
          <w:color w:val="000000"/>
          <w:spacing w:val="0"/>
          <w:sz w:val="32"/>
          <w:szCs w:val="32"/>
        </w:rPr>
        <w:t>”</w:t>
      </w:r>
      <w:r>
        <w:rPr>
          <w:rFonts w:hint="default" w:ascii="仿宋_GB2312" w:hAnsi="Times New Roman" w:eastAsia="仿宋_GB2312" w:cs="仿宋_GB2312"/>
          <w:i w:val="0"/>
          <w:iCs w:val="0"/>
          <w:caps w:val="0"/>
          <w:color w:val="000000"/>
          <w:spacing w:val="0"/>
          <w:sz w:val="32"/>
          <w:szCs w:val="32"/>
        </w:rPr>
        <w:t>原则，全力以赴提升信息公开制度化、规范化。现将</w:t>
      </w:r>
      <w:r>
        <w:rPr>
          <w:rFonts w:hint="default" w:ascii="Times New Roman" w:hAnsi="Times New Roman" w:eastAsia="sans-serif" w:cs="Times New Roman"/>
          <w:i w:val="0"/>
          <w:iCs w:val="0"/>
          <w:caps w:val="0"/>
          <w:color w:val="000000"/>
          <w:spacing w:val="0"/>
          <w:sz w:val="32"/>
          <w:szCs w:val="32"/>
        </w:rPr>
        <w:t>2025</w:t>
      </w:r>
      <w:r>
        <w:rPr>
          <w:rFonts w:hint="default" w:ascii="仿宋_GB2312" w:hAnsi="Times New Roman" w:eastAsia="仿宋_GB2312" w:cs="仿宋_GB2312"/>
          <w:i w:val="0"/>
          <w:iCs w:val="0"/>
          <w:caps w:val="0"/>
          <w:color w:val="000000"/>
          <w:spacing w:val="0"/>
          <w:sz w:val="32"/>
          <w:szCs w:val="32"/>
        </w:rPr>
        <w:t>年工作情况报告如下。</w:t>
      </w:r>
    </w:p>
    <w:p w14:paraId="35637F22">
      <w:pPr>
        <w:pStyle w:val="2"/>
        <w:keepNext w:val="0"/>
        <w:keepLines w:val="0"/>
        <w:widowControl/>
        <w:suppressLineNumbers w:val="0"/>
        <w:spacing w:line="555" w:lineRule="atLeast"/>
        <w:ind w:left="0" w:firstLine="645"/>
        <w:rPr>
          <w:rFonts w:hint="eastAsia" w:ascii="sans-serif" w:hAnsi="sans-serif" w:eastAsia="仿宋_GB2312" w:cs="sans-serif"/>
          <w:i w:val="0"/>
          <w:iCs w:val="0"/>
          <w:caps w:val="0"/>
          <w:color w:val="000000"/>
          <w:spacing w:val="0"/>
          <w:sz w:val="27"/>
          <w:szCs w:val="27"/>
          <w:lang w:eastAsia="zh-CN"/>
        </w:rPr>
      </w:pPr>
      <w:r>
        <w:rPr>
          <w:rFonts w:ascii="楷体_GB2312" w:hAnsi="sans-serif" w:eastAsia="楷体_GB2312" w:cs="楷体_GB2312"/>
          <w:i w:val="0"/>
          <w:iCs w:val="0"/>
          <w:caps w:val="0"/>
          <w:color w:val="000000"/>
          <w:spacing w:val="0"/>
          <w:sz w:val="32"/>
          <w:szCs w:val="32"/>
        </w:rPr>
        <w:t>（一）主动公开政府信息数。</w:t>
      </w:r>
      <w:r>
        <w:rPr>
          <w:rFonts w:hint="default" w:ascii="Times New Roman" w:hAnsi="Times New Roman" w:eastAsia="sans-serif" w:cs="Times New Roman"/>
          <w:i w:val="0"/>
          <w:iCs w:val="0"/>
          <w:caps w:val="0"/>
          <w:color w:val="000000"/>
          <w:spacing w:val="0"/>
          <w:sz w:val="32"/>
          <w:szCs w:val="32"/>
        </w:rPr>
        <w:t>2025</w:t>
      </w:r>
      <w:r>
        <w:rPr>
          <w:rFonts w:hint="default" w:ascii="仿宋_GB2312" w:hAnsi="Times New Roman" w:eastAsia="仿宋_GB2312" w:cs="仿宋_GB2312"/>
          <w:i w:val="0"/>
          <w:iCs w:val="0"/>
          <w:caps w:val="0"/>
          <w:color w:val="000000"/>
          <w:spacing w:val="0"/>
          <w:sz w:val="32"/>
          <w:szCs w:val="32"/>
        </w:rPr>
        <w:t>年度，集团积极践行信息公开理念，及时发布</w:t>
      </w:r>
      <w:r>
        <w:rPr>
          <w:rFonts w:hint="default" w:ascii="Times New Roman" w:hAnsi="Times New Roman" w:eastAsia="sans-serif" w:cs="Times New Roman"/>
          <w:i w:val="0"/>
          <w:iCs w:val="0"/>
          <w:caps w:val="0"/>
          <w:color w:val="000000"/>
          <w:spacing w:val="0"/>
          <w:sz w:val="32"/>
          <w:szCs w:val="32"/>
        </w:rPr>
        <w:t>1</w:t>
      </w:r>
      <w:r>
        <w:rPr>
          <w:rFonts w:hint="default" w:ascii="Times New Roman" w:hAnsi="Times New Roman" w:eastAsia="仿宋_GB2312" w:cs="Times New Roman"/>
          <w:i w:val="0"/>
          <w:iCs w:val="0"/>
          <w:caps w:val="0"/>
          <w:color w:val="000000"/>
          <w:spacing w:val="0"/>
          <w:sz w:val="32"/>
          <w:szCs w:val="32"/>
        </w:rPr>
        <w:t>11</w:t>
      </w:r>
      <w:r>
        <w:rPr>
          <w:rFonts w:hint="default" w:ascii="仿宋_GB2312" w:hAnsi="Times New Roman" w:eastAsia="仿宋_GB2312" w:cs="仿宋_GB2312"/>
          <w:i w:val="0"/>
          <w:iCs w:val="0"/>
          <w:caps w:val="0"/>
          <w:color w:val="000000"/>
          <w:spacing w:val="0"/>
          <w:sz w:val="32"/>
          <w:szCs w:val="32"/>
        </w:rPr>
        <w:t>条关于招商引资、项目建设、手续办理、全生命周期服务等信息内容，全方位展现集团动态。</w:t>
      </w:r>
      <w:r>
        <w:rPr>
          <w:rFonts w:hint="default" w:ascii="仿宋_GB2312" w:hAnsi="Times New Roman" w:eastAsia="仿宋_GB2312" w:cs="仿宋_GB2312"/>
          <w:i w:val="0"/>
          <w:iCs w:val="0"/>
          <w:caps w:val="0"/>
          <w:color w:val="000000"/>
          <w:spacing w:val="0"/>
          <w:sz w:val="31"/>
          <w:szCs w:val="31"/>
        </w:rPr>
        <w:t>今年以来通过政府网站收到互动交流信件</w:t>
      </w:r>
      <w:r>
        <w:rPr>
          <w:rFonts w:hint="default" w:ascii="Times New Roman" w:hAnsi="Times New Roman" w:eastAsia="sans-serif" w:cs="Times New Roman"/>
          <w:i w:val="0"/>
          <w:iCs w:val="0"/>
          <w:caps w:val="0"/>
          <w:color w:val="000000"/>
          <w:spacing w:val="0"/>
          <w:sz w:val="31"/>
          <w:szCs w:val="31"/>
        </w:rPr>
        <w:t>2</w:t>
      </w:r>
      <w:r>
        <w:rPr>
          <w:rFonts w:hint="default" w:ascii="仿宋_GB2312" w:hAnsi="Times New Roman" w:eastAsia="仿宋_GB2312" w:cs="仿宋_GB2312"/>
          <w:i w:val="0"/>
          <w:iCs w:val="0"/>
          <w:caps w:val="0"/>
          <w:color w:val="000000"/>
          <w:spacing w:val="0"/>
          <w:sz w:val="31"/>
          <w:szCs w:val="31"/>
        </w:rPr>
        <w:t>件，按时回复</w:t>
      </w:r>
      <w:r>
        <w:rPr>
          <w:rFonts w:hint="default" w:ascii="Times New Roman" w:hAnsi="Times New Roman" w:eastAsia="sans-serif" w:cs="Times New Roman"/>
          <w:i w:val="0"/>
          <w:iCs w:val="0"/>
          <w:caps w:val="0"/>
          <w:color w:val="000000"/>
          <w:spacing w:val="0"/>
          <w:sz w:val="31"/>
          <w:szCs w:val="31"/>
        </w:rPr>
        <w:t>2</w:t>
      </w:r>
      <w:r>
        <w:rPr>
          <w:rFonts w:hint="default" w:ascii="仿宋_GB2312" w:hAnsi="Times New Roman" w:eastAsia="仿宋_GB2312" w:cs="仿宋_GB2312"/>
          <w:i w:val="0"/>
          <w:iCs w:val="0"/>
          <w:caps w:val="0"/>
          <w:color w:val="000000"/>
          <w:spacing w:val="0"/>
          <w:sz w:val="31"/>
          <w:szCs w:val="31"/>
        </w:rPr>
        <w:t>件，及时解决群众热点难点问题。</w:t>
      </w:r>
      <w:r>
        <w:rPr>
          <w:rFonts w:hint="eastAsia" w:ascii="sans-serif" w:hAnsi="sans-serif" w:eastAsia="仿宋_GB2312" w:cs="sans-serif"/>
          <w:i w:val="0"/>
          <w:iCs w:val="0"/>
          <w:caps w:val="0"/>
          <w:color w:val="000000"/>
          <w:spacing w:val="0"/>
          <w:sz w:val="27"/>
          <w:szCs w:val="27"/>
          <w:lang w:eastAsia="zh-CN"/>
        </w:rPr>
        <w:drawing>
          <wp:inline distT="0" distB="0" distL="114300" distR="114300">
            <wp:extent cx="5272405" cy="3000375"/>
            <wp:effectExtent l="0" t="0" r="4445" b="9525"/>
            <wp:docPr id="5" name="图片 5"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
                    <pic:cNvPicPr>
                      <a:picLocks noChangeAspect="1"/>
                    </pic:cNvPicPr>
                  </pic:nvPicPr>
                  <pic:blipFill>
                    <a:blip r:embed="rId4"/>
                    <a:stretch>
                      <a:fillRect/>
                    </a:stretch>
                  </pic:blipFill>
                  <pic:spPr>
                    <a:xfrm>
                      <a:off x="0" y="0"/>
                      <a:ext cx="5272405" cy="3000375"/>
                    </a:xfrm>
                    <a:prstGeom prst="rect">
                      <a:avLst/>
                    </a:prstGeom>
                  </pic:spPr>
                </pic:pic>
              </a:graphicData>
            </a:graphic>
          </wp:inline>
        </w:drawing>
      </w:r>
      <w:r>
        <w:rPr>
          <w:rFonts w:hint="eastAsia" w:ascii="sans-serif" w:hAnsi="sans-serif" w:eastAsia="仿宋_GB2312" w:cs="sans-serif"/>
          <w:i w:val="0"/>
          <w:iCs w:val="0"/>
          <w:caps w:val="0"/>
          <w:color w:val="000000"/>
          <w:spacing w:val="0"/>
          <w:sz w:val="27"/>
          <w:szCs w:val="27"/>
          <w:lang w:eastAsia="zh-CN"/>
        </w:rPr>
        <w:drawing>
          <wp:inline distT="0" distB="0" distL="114300" distR="114300">
            <wp:extent cx="5274310" cy="4791075"/>
            <wp:effectExtent l="0" t="0" r="2540" b="9525"/>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pic:cNvPicPr>
                  </pic:nvPicPr>
                  <pic:blipFill>
                    <a:blip r:embed="rId5"/>
                    <a:stretch>
                      <a:fillRect/>
                    </a:stretch>
                  </pic:blipFill>
                  <pic:spPr>
                    <a:xfrm>
                      <a:off x="0" y="0"/>
                      <a:ext cx="5274310" cy="4791075"/>
                    </a:xfrm>
                    <a:prstGeom prst="rect">
                      <a:avLst/>
                    </a:prstGeom>
                  </pic:spPr>
                </pic:pic>
              </a:graphicData>
            </a:graphic>
          </wp:inline>
        </w:drawing>
      </w:r>
    </w:p>
    <w:p w14:paraId="05C6DD62">
      <w:pPr>
        <w:pStyle w:val="2"/>
        <w:keepNext w:val="0"/>
        <w:keepLines w:val="0"/>
        <w:widowControl/>
        <w:suppressLineNumbers w:val="0"/>
        <w:spacing w:line="315" w:lineRule="atLeast"/>
        <w:ind w:left="0" w:firstLine="0"/>
        <w:jc w:val="center"/>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drawing>
          <wp:inline distT="0" distB="0" distL="114300" distR="114300">
            <wp:extent cx="304800" cy="304800"/>
            <wp:effectExtent l="0" t="0" r="0" b="0"/>
            <wp:docPr id="2" name="图片 1"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2.png"/>
                    <pic:cNvPicPr>
                      <a:picLocks noChangeAspect="1"/>
                    </pic:cNvPicPr>
                  </pic:nvPicPr>
                  <pic:blipFill>
                    <a:blip r:embed="rId6"/>
                    <a:stretch>
                      <a:fillRect/>
                    </a:stretch>
                  </pic:blipFill>
                  <pic:spPr>
                    <a:xfrm>
                      <a:off x="0" y="0"/>
                      <a:ext cx="304800" cy="304800"/>
                    </a:xfrm>
                    <a:prstGeom prst="rect">
                      <a:avLst/>
                    </a:prstGeom>
                    <a:noFill/>
                    <a:ln w="9525">
                      <a:noFill/>
                    </a:ln>
                  </pic:spPr>
                </pic:pic>
              </a:graphicData>
            </a:graphic>
          </wp:inline>
        </w:drawing>
      </w:r>
    </w:p>
    <w:p w14:paraId="7F08DA11">
      <w:pPr>
        <w:pStyle w:val="2"/>
        <w:keepNext w:val="0"/>
        <w:keepLines w:val="0"/>
        <w:widowControl/>
        <w:suppressLineNumbers w:val="0"/>
        <w:spacing w:line="315" w:lineRule="atLeast"/>
        <w:ind w:left="0" w:firstLine="0"/>
        <w:jc w:val="center"/>
        <w:rPr>
          <w:rFonts w:hint="default" w:ascii="sans-serif" w:hAnsi="sans-serif" w:eastAsia="sans-serif" w:cs="sans-serif"/>
          <w:i w:val="0"/>
          <w:iCs w:val="0"/>
          <w:caps w:val="0"/>
          <w:color w:val="000000"/>
          <w:spacing w:val="0"/>
          <w:sz w:val="32"/>
          <w:szCs w:val="32"/>
        </w:rPr>
      </w:pPr>
      <w:r>
        <w:rPr>
          <w:rFonts w:hint="default" w:ascii="sans-serif" w:hAnsi="sans-serif" w:eastAsia="sans-serif" w:cs="sans-serif"/>
          <w:i w:val="0"/>
          <w:iCs w:val="0"/>
          <w:caps w:val="0"/>
          <w:color w:val="000000"/>
          <w:spacing w:val="0"/>
          <w:sz w:val="32"/>
          <w:szCs w:val="32"/>
        </w:rPr>
        <w:drawing>
          <wp:inline distT="0" distB="0" distL="114300" distR="114300">
            <wp:extent cx="304800" cy="304800"/>
            <wp:effectExtent l="0" t="0" r="0" b="0"/>
            <wp:docPr id="3" name="图片 2"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1.png"/>
                    <pic:cNvPicPr>
                      <a:picLocks noChangeAspect="1"/>
                    </pic:cNvPicPr>
                  </pic:nvPicPr>
                  <pic:blipFill>
                    <a:blip r:embed="rId6"/>
                    <a:stretch>
                      <a:fillRect/>
                    </a:stretch>
                  </pic:blipFill>
                  <pic:spPr>
                    <a:xfrm>
                      <a:off x="0" y="0"/>
                      <a:ext cx="304800" cy="304800"/>
                    </a:xfrm>
                    <a:prstGeom prst="rect">
                      <a:avLst/>
                    </a:prstGeom>
                    <a:noFill/>
                    <a:ln w="9525">
                      <a:noFill/>
                    </a:ln>
                  </pic:spPr>
                </pic:pic>
              </a:graphicData>
            </a:graphic>
          </wp:inline>
        </w:drawing>
      </w:r>
    </w:p>
    <w:p w14:paraId="2E85565F">
      <w:pPr>
        <w:pStyle w:val="2"/>
        <w:keepNext w:val="0"/>
        <w:keepLines w:val="0"/>
        <w:widowControl/>
        <w:suppressLineNumbers w:val="0"/>
        <w:spacing w:line="555" w:lineRule="atLeast"/>
        <w:ind w:left="0" w:firstLine="615"/>
        <w:rPr>
          <w:rFonts w:hint="default" w:ascii="sans-serif" w:hAnsi="sans-serif" w:eastAsia="sans-serif" w:cs="sans-serif"/>
          <w:i w:val="0"/>
          <w:iCs w:val="0"/>
          <w:caps w:val="0"/>
          <w:color w:val="000000"/>
          <w:spacing w:val="0"/>
          <w:sz w:val="32"/>
          <w:szCs w:val="32"/>
        </w:rPr>
      </w:pPr>
      <w:r>
        <w:rPr>
          <w:rFonts w:hint="default" w:ascii="仿宋_GB2312" w:hAnsi="sans-serif" w:eastAsia="仿宋_GB2312" w:cs="仿宋_GB2312"/>
          <w:i w:val="0"/>
          <w:iCs w:val="0"/>
          <w:caps w:val="0"/>
          <w:color w:val="000000"/>
          <w:spacing w:val="0"/>
          <w:sz w:val="32"/>
          <w:szCs w:val="32"/>
        </w:rPr>
        <w:t>（二）</w:t>
      </w:r>
      <w:r>
        <w:rPr>
          <w:rFonts w:hint="default" w:ascii="楷体_GB2312" w:hAnsi="Times New Roman" w:eastAsia="楷体_GB2312" w:cs="楷体_GB2312"/>
          <w:i w:val="0"/>
          <w:iCs w:val="0"/>
          <w:caps w:val="0"/>
          <w:color w:val="000000"/>
          <w:spacing w:val="0"/>
          <w:sz w:val="32"/>
          <w:szCs w:val="32"/>
        </w:rPr>
        <w:t>依申请公开办理情况。</w:t>
      </w:r>
      <w:r>
        <w:rPr>
          <w:rFonts w:hint="default" w:ascii="仿宋_GB2312" w:hAnsi="sans-serif" w:eastAsia="仿宋_GB2312" w:cs="仿宋_GB2312"/>
          <w:i w:val="0"/>
          <w:iCs w:val="0"/>
          <w:caps w:val="0"/>
          <w:color w:val="000000"/>
          <w:spacing w:val="0"/>
          <w:sz w:val="32"/>
          <w:szCs w:val="32"/>
        </w:rPr>
        <w:t>依据</w:t>
      </w:r>
      <w:r>
        <w:rPr>
          <w:rFonts w:hint="default" w:ascii="仿宋_GB2312" w:hAnsi="Times New Roman" w:eastAsia="仿宋_GB2312" w:cs="仿宋_GB2312"/>
          <w:i w:val="0"/>
          <w:iCs w:val="0"/>
          <w:caps w:val="0"/>
          <w:color w:val="000000"/>
          <w:spacing w:val="0"/>
          <w:sz w:val="32"/>
          <w:szCs w:val="32"/>
        </w:rPr>
        <w:t>《中华人民共和国政府信息公开条例》，</w:t>
      </w:r>
      <w:r>
        <w:rPr>
          <w:rFonts w:hint="default" w:ascii="仿宋_GB2312" w:hAnsi="sans-serif" w:eastAsia="仿宋_GB2312" w:cs="仿宋_GB2312"/>
          <w:i w:val="0"/>
          <w:iCs w:val="0"/>
          <w:caps w:val="0"/>
          <w:color w:val="000000"/>
          <w:spacing w:val="0"/>
          <w:sz w:val="32"/>
          <w:szCs w:val="32"/>
        </w:rPr>
        <w:t>集团</w:t>
      </w:r>
      <w:r>
        <w:rPr>
          <w:rFonts w:hint="default" w:ascii="仿宋_GB2312" w:hAnsi="Times New Roman" w:eastAsia="仿宋_GB2312" w:cs="仿宋_GB2312"/>
          <w:i w:val="0"/>
          <w:iCs w:val="0"/>
          <w:caps w:val="0"/>
          <w:color w:val="000000"/>
          <w:spacing w:val="0"/>
          <w:sz w:val="32"/>
          <w:szCs w:val="32"/>
        </w:rPr>
        <w:t>全力做好依申请公开政府信息工作，</w:t>
      </w:r>
      <w:r>
        <w:rPr>
          <w:rFonts w:hint="default" w:ascii="Times New Roman" w:hAnsi="Times New Roman" w:eastAsia="sans-serif" w:cs="Times New Roman"/>
          <w:i w:val="0"/>
          <w:iCs w:val="0"/>
          <w:caps w:val="0"/>
          <w:color w:val="000000"/>
          <w:spacing w:val="0"/>
          <w:sz w:val="32"/>
          <w:szCs w:val="32"/>
        </w:rPr>
        <w:t>2025</w:t>
      </w:r>
      <w:r>
        <w:rPr>
          <w:rFonts w:hint="default" w:ascii="仿宋_GB2312" w:hAnsi="Times New Roman" w:eastAsia="仿宋_GB2312" w:cs="仿宋_GB2312"/>
          <w:i w:val="0"/>
          <w:iCs w:val="0"/>
          <w:caps w:val="0"/>
          <w:color w:val="000000"/>
          <w:spacing w:val="0"/>
          <w:sz w:val="32"/>
          <w:szCs w:val="32"/>
        </w:rPr>
        <w:t>年，</w:t>
      </w:r>
      <w:r>
        <w:rPr>
          <w:rFonts w:hint="default" w:ascii="仿宋_GB2312" w:hAnsi="sans-serif" w:eastAsia="仿宋_GB2312" w:cs="仿宋_GB2312"/>
          <w:i w:val="0"/>
          <w:iCs w:val="0"/>
          <w:caps w:val="0"/>
          <w:color w:val="000000"/>
          <w:spacing w:val="0"/>
          <w:sz w:val="32"/>
          <w:szCs w:val="32"/>
        </w:rPr>
        <w:t>共收到依申请公开件0件（其中官网收到0件，信件0件），按时回复0件，与2024年依申请公开件无变化。</w:t>
      </w:r>
    </w:p>
    <w:p w14:paraId="104F1483">
      <w:pPr>
        <w:pStyle w:val="2"/>
        <w:keepNext w:val="0"/>
        <w:keepLines w:val="0"/>
        <w:widowControl/>
        <w:suppressLineNumbers w:val="0"/>
        <w:spacing w:line="555" w:lineRule="atLeast"/>
        <w:ind w:left="0" w:firstLine="645"/>
        <w:rPr>
          <w:rFonts w:hint="default" w:ascii="sans-serif" w:hAnsi="sans-serif" w:eastAsia="sans-serif" w:cs="sans-serif"/>
          <w:i w:val="0"/>
          <w:iCs w:val="0"/>
          <w:caps w:val="0"/>
          <w:color w:val="000000"/>
          <w:spacing w:val="0"/>
          <w:sz w:val="32"/>
          <w:szCs w:val="32"/>
        </w:rPr>
      </w:pPr>
      <w:r>
        <w:rPr>
          <w:rFonts w:hint="default" w:ascii="仿宋_GB2312" w:hAnsi="Times New Roman" w:eastAsia="仿宋_GB2312" w:cs="仿宋_GB2312"/>
          <w:i w:val="0"/>
          <w:iCs w:val="0"/>
          <w:caps w:val="0"/>
          <w:color w:val="000000"/>
          <w:spacing w:val="0"/>
          <w:sz w:val="32"/>
          <w:szCs w:val="32"/>
        </w:rPr>
        <w:t>收费和减免情况：根据财政部、国家发展改革委联合印发的《关于清理规范一批行政事业性收费有关政策的通知》规定，本年度依申请公开政府信息未收取任何费用，包括：检索费、复制费（含案卷材料复制费）、邮寄费。</w:t>
      </w:r>
    </w:p>
    <w:p w14:paraId="1431340D">
      <w:pPr>
        <w:pStyle w:val="2"/>
        <w:keepNext w:val="0"/>
        <w:keepLines w:val="0"/>
        <w:widowControl/>
        <w:suppressLineNumbers w:val="0"/>
        <w:spacing w:line="555" w:lineRule="atLeast"/>
        <w:ind w:left="0" w:firstLine="645"/>
        <w:rPr>
          <w:rFonts w:ascii="仿宋_GB2312" w:hAnsi="宋体" w:eastAsia="仿宋_GB2312" w:cs="仿宋_GB2312"/>
          <w:i w:val="0"/>
          <w:iCs w:val="0"/>
          <w:caps w:val="0"/>
          <w:color w:val="000000"/>
          <w:spacing w:val="0"/>
          <w:sz w:val="31"/>
          <w:szCs w:val="31"/>
        </w:rPr>
      </w:pPr>
      <w:r>
        <w:rPr>
          <w:rFonts w:ascii="仿宋_GB2312" w:hAnsi="宋体" w:eastAsia="仿宋_GB2312" w:cs="仿宋_GB2312"/>
          <w:i w:val="0"/>
          <w:iCs w:val="0"/>
          <w:caps w:val="0"/>
          <w:color w:val="000000"/>
          <w:spacing w:val="0"/>
          <w:sz w:val="31"/>
          <w:szCs w:val="31"/>
        </w:rPr>
        <w:t>2025年，因政府信息公开被申请行政复议</w:t>
      </w:r>
      <w:bookmarkStart w:id="9" w:name="_GoBack"/>
      <w:bookmarkEnd w:id="9"/>
      <w:r>
        <w:rPr>
          <w:rFonts w:hint="eastAsia" w:ascii="仿宋_GB2312" w:hAnsi="宋体" w:eastAsia="仿宋_GB2312" w:cs="仿宋_GB2312"/>
          <w:i w:val="0"/>
          <w:iCs w:val="0"/>
          <w:caps w:val="0"/>
          <w:color w:val="000000"/>
          <w:spacing w:val="0"/>
          <w:sz w:val="31"/>
          <w:szCs w:val="31"/>
          <w:lang w:val="en-US" w:eastAsia="zh-CN"/>
        </w:rPr>
        <w:t>0</w:t>
      </w:r>
      <w:r>
        <w:rPr>
          <w:rFonts w:ascii="仿宋_GB2312" w:hAnsi="宋体" w:eastAsia="仿宋_GB2312" w:cs="仿宋_GB2312"/>
          <w:i w:val="0"/>
          <w:iCs w:val="0"/>
          <w:caps w:val="0"/>
          <w:color w:val="000000"/>
          <w:spacing w:val="0"/>
          <w:sz w:val="31"/>
          <w:szCs w:val="31"/>
        </w:rPr>
        <w:t>件，因公民、法人和其他组织认为行政机关政府信息公开工作具体行政行为侵犯其合法权益，提起行政诉讼0件。</w:t>
      </w:r>
    </w:p>
    <w:p w14:paraId="6B378CD0">
      <w:pPr>
        <w:pStyle w:val="2"/>
        <w:keepNext w:val="0"/>
        <w:keepLines w:val="0"/>
        <w:widowControl/>
        <w:suppressLineNumbers w:val="0"/>
        <w:spacing w:line="555" w:lineRule="atLeast"/>
        <w:ind w:left="0" w:firstLine="645"/>
        <w:rPr>
          <w:rFonts w:hint="default" w:ascii="仿宋_GB2312" w:hAnsi="Times New Roman" w:eastAsia="仿宋_GB2312" w:cs="仿宋_GB2312"/>
          <w:i w:val="0"/>
          <w:iCs w:val="0"/>
          <w:caps w:val="0"/>
          <w:color w:val="000000"/>
          <w:spacing w:val="0"/>
          <w:sz w:val="32"/>
          <w:szCs w:val="32"/>
        </w:rPr>
      </w:pPr>
      <w:r>
        <w:rPr>
          <w:rFonts w:hint="default" w:ascii="楷体_GB2312" w:hAnsi="Times New Roman" w:eastAsia="楷体_GB2312" w:cs="楷体_GB2312"/>
          <w:i w:val="0"/>
          <w:iCs w:val="0"/>
          <w:caps w:val="0"/>
          <w:color w:val="000000"/>
          <w:spacing w:val="0"/>
          <w:sz w:val="32"/>
          <w:szCs w:val="32"/>
        </w:rPr>
        <w:t>（三）政府信息管理情况。</w:t>
      </w:r>
      <w:r>
        <w:rPr>
          <w:rFonts w:hint="default" w:ascii="仿宋_GB2312" w:hAnsi="Times New Roman" w:eastAsia="仿宋_GB2312" w:cs="仿宋_GB2312"/>
          <w:i w:val="0"/>
          <w:iCs w:val="0"/>
          <w:caps w:val="0"/>
          <w:color w:val="000000"/>
          <w:spacing w:val="0"/>
          <w:sz w:val="32"/>
          <w:szCs w:val="32"/>
        </w:rPr>
        <w:t>加强信息审查，安排专人负责信息发布，确保每一条对外发布的信息真实准确、严谨规范、及时合规，坚决杜绝错漏信息，以高质量信息公开保障群众知情权、参与权和监督权。</w:t>
      </w:r>
    </w:p>
    <w:p w14:paraId="4F9A1690">
      <w:pPr>
        <w:pStyle w:val="2"/>
        <w:keepNext w:val="0"/>
        <w:keepLines w:val="0"/>
        <w:widowControl/>
        <w:suppressLineNumbers w:val="0"/>
        <w:spacing w:line="555" w:lineRule="atLeast"/>
        <w:ind w:left="0" w:firstLine="645"/>
        <w:rPr>
          <w:rFonts w:hint="default" w:ascii="仿宋_GB2312" w:hAnsi="Times New Roman" w:eastAsia="仿宋_GB2312" w:cs="仿宋_GB2312"/>
          <w:i w:val="0"/>
          <w:iCs w:val="0"/>
          <w:caps w:val="0"/>
          <w:color w:val="000000"/>
          <w:spacing w:val="0"/>
          <w:sz w:val="32"/>
          <w:szCs w:val="32"/>
        </w:rPr>
      </w:pPr>
      <w:r>
        <w:rPr>
          <w:rFonts w:hint="default" w:ascii="楷体_GB2312" w:hAnsi="Times New Roman" w:eastAsia="楷体_GB2312" w:cs="楷体_GB2312"/>
          <w:i w:val="0"/>
          <w:iCs w:val="0"/>
          <w:caps w:val="0"/>
          <w:color w:val="000000"/>
          <w:spacing w:val="0"/>
          <w:sz w:val="32"/>
          <w:szCs w:val="32"/>
        </w:rPr>
        <w:t>（四）政府信息平台建设情况。</w:t>
      </w:r>
      <w:r>
        <w:rPr>
          <w:rFonts w:hint="default" w:ascii="仿宋_GB2312" w:hAnsi="Times New Roman" w:eastAsia="仿宋_GB2312" w:cs="仿宋_GB2312"/>
          <w:i w:val="0"/>
          <w:iCs w:val="0"/>
          <w:caps w:val="0"/>
          <w:color w:val="000000"/>
          <w:spacing w:val="0"/>
          <w:sz w:val="32"/>
          <w:szCs w:val="32"/>
        </w:rPr>
        <w:t>集团以高新区政府网站为核心载体，严格遵循信息公开相关法规制度与规范要求，明确集团综合管理部为信息公开工作牵头责任部门，具体承担主动公开目录编制、信息发布审查、公开内容发布等全流程工作，统筹推动集团及各子公司政务信息公开工作落细落实，确保各项工作规范执行到位、责任压实到人。</w:t>
      </w:r>
    </w:p>
    <w:p w14:paraId="6236762D">
      <w:pPr>
        <w:pStyle w:val="2"/>
        <w:keepNext w:val="0"/>
        <w:keepLines w:val="0"/>
        <w:widowControl/>
        <w:suppressLineNumbers w:val="0"/>
        <w:spacing w:line="555" w:lineRule="atLeast"/>
        <w:ind w:left="0" w:firstLine="645"/>
        <w:rPr>
          <w:rFonts w:hint="default" w:ascii="sans-serif" w:hAnsi="sans-serif" w:eastAsia="sans-serif" w:cs="sans-serif"/>
          <w:i w:val="0"/>
          <w:iCs w:val="0"/>
          <w:caps w:val="0"/>
          <w:color w:val="000000"/>
          <w:spacing w:val="0"/>
          <w:sz w:val="32"/>
          <w:szCs w:val="32"/>
        </w:rPr>
      </w:pPr>
      <w:r>
        <w:rPr>
          <w:rFonts w:hint="default" w:ascii="楷体_GB2312" w:hAnsi="Times New Roman" w:eastAsia="楷体_GB2312" w:cs="楷体_GB2312"/>
          <w:i w:val="0"/>
          <w:iCs w:val="0"/>
          <w:caps w:val="0"/>
          <w:color w:val="000000"/>
          <w:spacing w:val="0"/>
          <w:sz w:val="32"/>
          <w:szCs w:val="32"/>
        </w:rPr>
        <w:t>（五）监督保障情况。</w:t>
      </w:r>
      <w:r>
        <w:rPr>
          <w:rFonts w:hint="default" w:ascii="仿宋_GB2312" w:hAnsi="Times New Roman" w:eastAsia="仿宋_GB2312" w:cs="仿宋_GB2312"/>
          <w:i w:val="0"/>
          <w:iCs w:val="0"/>
          <w:caps w:val="0"/>
          <w:color w:val="000000"/>
          <w:spacing w:val="0"/>
          <w:sz w:val="32"/>
          <w:szCs w:val="32"/>
        </w:rPr>
        <w:t>强化信息审核把关力度，常态化开展信息报送人员业务培训，对拟公开信息进行严格筛查过滤；精准锚定信息报送重点方向，紧密衔接日常业务工作，及时回应群众关切，持续提升信息公开工作质量与企业公信力。</w:t>
      </w:r>
    </w:p>
    <w:p w14:paraId="48929080">
      <w:pPr>
        <w:pStyle w:val="2"/>
        <w:keepNext w:val="0"/>
        <w:keepLines w:val="0"/>
        <w:widowControl/>
        <w:suppressLineNumbers w:val="0"/>
        <w:spacing w:line="585" w:lineRule="atLeast"/>
        <w:ind w:left="0" w:firstLine="645"/>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rPr>
        <w:t>二、收到和处理政府信息公开申请情况</w:t>
      </w:r>
    </w:p>
    <w:tbl>
      <w:tblPr>
        <w:tblStyle w:val="3"/>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150" w:type="dxa"/>
          <w:bottom w:w="75" w:type="dxa"/>
          <w:right w:w="150" w:type="dxa"/>
        </w:tblCellMar>
      </w:tblPr>
      <w:tblGrid>
        <w:gridCol w:w="770"/>
        <w:gridCol w:w="1050"/>
        <w:gridCol w:w="1965"/>
        <w:gridCol w:w="991"/>
        <w:gridCol w:w="550"/>
        <w:gridCol w:w="550"/>
        <w:gridCol w:w="674"/>
        <w:gridCol w:w="646"/>
        <w:gridCol w:w="550"/>
        <w:gridCol w:w="770"/>
      </w:tblGrid>
      <w:tr w14:paraId="2A24431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735" w:hRule="atLeast"/>
          <w:jc w:val="center"/>
        </w:trPr>
        <w:tc>
          <w:tcPr>
            <w:tcW w:w="3705" w:type="dxa"/>
            <w:gridSpan w:val="3"/>
            <w:vMerge w:val="restart"/>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14:paraId="26EDC14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85" w:lineRule="atLeast"/>
              <w:ind w:left="0" w:right="0"/>
              <w:jc w:val="center"/>
            </w:pPr>
            <w:r>
              <w:rPr>
                <w:rFonts w:hint="default" w:ascii="仿宋_GB2312" w:hAnsi="Times New Roman" w:eastAsia="仿宋_GB2312" w:cs="仿宋_GB2312"/>
                <w:sz w:val="28"/>
                <w:szCs w:val="28"/>
              </w:rPr>
              <w:t>（本列数据的勾稽关系为：第一项加第二项之和，等于第三项加第四项之和）</w:t>
            </w:r>
          </w:p>
        </w:tc>
        <w:tc>
          <w:tcPr>
            <w:tcW w:w="4815" w:type="dxa"/>
            <w:gridSpan w:val="7"/>
            <w:tcBorders>
              <w:top w:val="single" w:color="auto" w:sz="6" w:space="0"/>
              <w:left w:val="nil"/>
              <w:bottom w:val="single" w:color="auto" w:sz="6" w:space="0"/>
              <w:right w:val="single" w:color="auto" w:sz="6" w:space="0"/>
            </w:tcBorders>
            <w:shd w:val="clear" w:color="auto" w:fill="auto"/>
            <w:tcMar>
              <w:left w:w="105" w:type="dxa"/>
              <w:bottom w:w="0" w:type="dxa"/>
              <w:right w:w="105" w:type="dxa"/>
            </w:tcMar>
            <w:vAlign w:val="center"/>
          </w:tcPr>
          <w:p w14:paraId="3C6A5F1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hAnsi="Times New Roman" w:eastAsia="仿宋_GB2312" w:cs="仿宋_GB2312"/>
                <w:sz w:val="28"/>
                <w:szCs w:val="28"/>
              </w:rPr>
              <w:t>申请人情况</w:t>
            </w:r>
          </w:p>
        </w:tc>
      </w:tr>
      <w:tr w14:paraId="58DC9A7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20" w:hRule="atLeast"/>
          <w:jc w:val="center"/>
        </w:trPr>
        <w:tc>
          <w:tcPr>
            <w:tcW w:w="3705" w:type="dxa"/>
            <w:gridSpan w:val="3"/>
            <w:vMerge w:val="continue"/>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14:paraId="2AB36581">
            <w:pPr>
              <w:rPr>
                <w:rFonts w:hint="eastAsia" w:ascii="宋体"/>
                <w:sz w:val="24"/>
                <w:szCs w:val="24"/>
              </w:rPr>
            </w:pPr>
          </w:p>
        </w:tc>
        <w:tc>
          <w:tcPr>
            <w:tcW w:w="1035" w:type="dxa"/>
            <w:vMerge w:val="restart"/>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467EFFF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hAnsi="Times New Roman" w:eastAsia="仿宋_GB2312" w:cs="仿宋_GB2312"/>
                <w:sz w:val="28"/>
                <w:szCs w:val="28"/>
              </w:rPr>
              <w:t>自然人</w:t>
            </w:r>
          </w:p>
        </w:tc>
        <w:tc>
          <w:tcPr>
            <w:tcW w:w="3000" w:type="dxa"/>
            <w:gridSpan w:val="5"/>
            <w:tcBorders>
              <w:top w:val="single" w:color="auto" w:sz="6" w:space="0"/>
              <w:left w:val="nil"/>
              <w:bottom w:val="single" w:color="auto" w:sz="6" w:space="0"/>
              <w:right w:val="single" w:color="auto" w:sz="6" w:space="0"/>
            </w:tcBorders>
            <w:shd w:val="clear" w:color="auto" w:fill="auto"/>
            <w:tcMar>
              <w:left w:w="105" w:type="dxa"/>
              <w:bottom w:w="0" w:type="dxa"/>
              <w:right w:w="105" w:type="dxa"/>
            </w:tcMar>
            <w:vAlign w:val="center"/>
          </w:tcPr>
          <w:p w14:paraId="4271662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hAnsi="Times New Roman" w:eastAsia="仿宋_GB2312" w:cs="仿宋_GB2312"/>
                <w:sz w:val="28"/>
                <w:szCs w:val="28"/>
              </w:rPr>
              <w:t>法人或其他组织</w:t>
            </w:r>
          </w:p>
        </w:tc>
        <w:tc>
          <w:tcPr>
            <w:tcW w:w="795" w:type="dxa"/>
            <w:vMerge w:val="restart"/>
            <w:tcBorders>
              <w:top w:val="single" w:color="auto" w:sz="6" w:space="0"/>
              <w:left w:val="nil"/>
              <w:bottom w:val="single" w:color="auto" w:sz="6" w:space="0"/>
              <w:right w:val="single" w:color="auto" w:sz="6" w:space="0"/>
            </w:tcBorders>
            <w:shd w:val="clear" w:color="auto" w:fill="auto"/>
            <w:tcMar>
              <w:left w:w="105" w:type="dxa"/>
              <w:bottom w:w="0" w:type="dxa"/>
              <w:right w:w="105" w:type="dxa"/>
            </w:tcMar>
            <w:vAlign w:val="center"/>
          </w:tcPr>
          <w:p w14:paraId="1A46362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hAnsi="Times New Roman" w:eastAsia="仿宋_GB2312" w:cs="仿宋_GB2312"/>
                <w:sz w:val="28"/>
                <w:szCs w:val="28"/>
              </w:rPr>
              <w:t>总计</w:t>
            </w:r>
          </w:p>
        </w:tc>
      </w:tr>
      <w:tr w14:paraId="076DC87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720" w:hRule="atLeast"/>
          <w:jc w:val="center"/>
        </w:trPr>
        <w:tc>
          <w:tcPr>
            <w:tcW w:w="3705" w:type="dxa"/>
            <w:gridSpan w:val="3"/>
            <w:vMerge w:val="continue"/>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14:paraId="6496A0DA">
            <w:pPr>
              <w:rPr>
                <w:rFonts w:hint="eastAsia" w:ascii="宋体"/>
                <w:sz w:val="24"/>
                <w:szCs w:val="24"/>
              </w:rPr>
            </w:pPr>
          </w:p>
        </w:tc>
        <w:tc>
          <w:tcPr>
            <w:tcW w:w="1035" w:type="dxa"/>
            <w:vMerge w:val="continue"/>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33BBE7CC">
            <w:pPr>
              <w:rPr>
                <w:rFonts w:hint="eastAsia" w:ascii="宋体"/>
                <w:sz w:val="24"/>
                <w:szCs w:val="24"/>
              </w:rPr>
            </w:pPr>
          </w:p>
        </w:tc>
        <w:tc>
          <w:tcPr>
            <w:tcW w:w="55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4AFB579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hAnsi="Times New Roman" w:eastAsia="仿宋_GB2312" w:cs="仿宋_GB2312"/>
                <w:sz w:val="28"/>
                <w:szCs w:val="28"/>
              </w:rPr>
              <w:t>商业企业</w:t>
            </w:r>
          </w:p>
        </w:tc>
        <w:tc>
          <w:tcPr>
            <w:tcW w:w="55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2FD5B8A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hAnsi="Times New Roman" w:eastAsia="仿宋_GB2312" w:cs="仿宋_GB2312"/>
                <w:sz w:val="28"/>
                <w:szCs w:val="28"/>
              </w:rPr>
              <w:t>科研机构</w:t>
            </w:r>
          </w:p>
        </w:tc>
        <w:tc>
          <w:tcPr>
            <w:tcW w:w="690" w:type="dxa"/>
            <w:tcBorders>
              <w:top w:val="single" w:color="auto" w:sz="6" w:space="0"/>
              <w:left w:val="nil"/>
              <w:bottom w:val="single" w:color="auto" w:sz="6" w:space="0"/>
              <w:right w:val="single" w:color="auto" w:sz="6" w:space="0"/>
            </w:tcBorders>
            <w:shd w:val="clear" w:color="auto" w:fill="auto"/>
            <w:tcMar>
              <w:left w:w="105" w:type="dxa"/>
              <w:bottom w:w="0" w:type="dxa"/>
              <w:right w:w="105" w:type="dxa"/>
            </w:tcMar>
            <w:vAlign w:val="center"/>
          </w:tcPr>
          <w:p w14:paraId="3813033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hAnsi="Times New Roman" w:eastAsia="仿宋_GB2312" w:cs="仿宋_GB2312"/>
                <w:sz w:val="28"/>
                <w:szCs w:val="28"/>
              </w:rPr>
              <w:t>社会公益组织</w:t>
            </w:r>
          </w:p>
        </w:tc>
        <w:tc>
          <w:tcPr>
            <w:tcW w:w="660" w:type="dxa"/>
            <w:tcBorders>
              <w:top w:val="single" w:color="auto" w:sz="6" w:space="0"/>
              <w:left w:val="nil"/>
              <w:bottom w:val="single" w:color="auto" w:sz="6" w:space="0"/>
              <w:right w:val="single" w:color="auto" w:sz="6" w:space="0"/>
            </w:tcBorders>
            <w:shd w:val="clear" w:color="auto" w:fill="auto"/>
            <w:tcMar>
              <w:left w:w="105" w:type="dxa"/>
              <w:bottom w:w="0" w:type="dxa"/>
              <w:right w:w="105" w:type="dxa"/>
            </w:tcMar>
            <w:vAlign w:val="center"/>
          </w:tcPr>
          <w:p w14:paraId="7C9759F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hAnsi="Times New Roman" w:eastAsia="仿宋_GB2312" w:cs="仿宋_GB2312"/>
                <w:sz w:val="28"/>
                <w:szCs w:val="28"/>
              </w:rPr>
              <w:t>法律服务机构</w:t>
            </w:r>
          </w:p>
        </w:tc>
        <w:tc>
          <w:tcPr>
            <w:tcW w:w="555" w:type="dxa"/>
            <w:tcBorders>
              <w:top w:val="single" w:color="auto" w:sz="6" w:space="0"/>
              <w:left w:val="nil"/>
              <w:bottom w:val="single" w:color="auto" w:sz="6" w:space="0"/>
              <w:right w:val="single" w:color="auto" w:sz="6" w:space="0"/>
            </w:tcBorders>
            <w:shd w:val="clear" w:color="auto" w:fill="auto"/>
            <w:tcMar>
              <w:left w:w="105" w:type="dxa"/>
              <w:bottom w:w="0" w:type="dxa"/>
              <w:right w:w="105" w:type="dxa"/>
            </w:tcMar>
            <w:vAlign w:val="center"/>
          </w:tcPr>
          <w:p w14:paraId="747A23F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hAnsi="Times New Roman" w:eastAsia="仿宋_GB2312" w:cs="仿宋_GB2312"/>
                <w:sz w:val="28"/>
                <w:szCs w:val="28"/>
              </w:rPr>
              <w:t>其他</w:t>
            </w:r>
          </w:p>
        </w:tc>
        <w:tc>
          <w:tcPr>
            <w:tcW w:w="795" w:type="dxa"/>
            <w:vMerge w:val="continue"/>
            <w:tcBorders>
              <w:top w:val="single" w:color="auto" w:sz="6" w:space="0"/>
              <w:left w:val="nil"/>
              <w:bottom w:val="single" w:color="auto" w:sz="6" w:space="0"/>
              <w:right w:val="single" w:color="auto" w:sz="6" w:space="0"/>
            </w:tcBorders>
            <w:shd w:val="clear" w:color="auto" w:fill="auto"/>
            <w:tcMar>
              <w:left w:w="105" w:type="dxa"/>
              <w:bottom w:w="0" w:type="dxa"/>
              <w:right w:w="105" w:type="dxa"/>
            </w:tcMar>
            <w:vAlign w:val="center"/>
          </w:tcPr>
          <w:p w14:paraId="7943B581">
            <w:pPr>
              <w:rPr>
                <w:rFonts w:hint="eastAsia" w:ascii="宋体"/>
                <w:sz w:val="24"/>
                <w:szCs w:val="24"/>
              </w:rPr>
            </w:pPr>
          </w:p>
        </w:tc>
      </w:tr>
      <w:tr w14:paraId="243A558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600" w:hRule="atLeast"/>
          <w:jc w:val="center"/>
        </w:trPr>
        <w:tc>
          <w:tcPr>
            <w:tcW w:w="3705" w:type="dxa"/>
            <w:gridSpan w:val="3"/>
            <w:tcBorders>
              <w:top w:val="nil"/>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14:paraId="3B1D613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hAnsi="Times New Roman" w:eastAsia="仿宋_GB2312" w:cs="仿宋_GB2312"/>
                <w:sz w:val="28"/>
                <w:szCs w:val="28"/>
              </w:rPr>
              <w:t>一、</w:t>
            </w:r>
            <w:bookmarkStart w:id="0" w:name="_Hlk66973412"/>
            <w:r>
              <w:rPr>
                <w:rFonts w:hint="default" w:ascii="仿宋_GB2312" w:hAnsi="Times New Roman" w:eastAsia="仿宋_GB2312" w:cs="仿宋_GB2312"/>
                <w:sz w:val="28"/>
                <w:szCs w:val="28"/>
              </w:rPr>
              <w:t>本年新收政府信息公开申请数量</w:t>
            </w:r>
            <w:bookmarkEnd w:id="0"/>
          </w:p>
        </w:tc>
        <w:tc>
          <w:tcPr>
            <w:tcW w:w="103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3FB759B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55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64BF1A7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55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4D110D7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690"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0EFDC3C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660"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5683CC5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55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6127E31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79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2CA6490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r>
      <w:tr w14:paraId="1B18073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15" w:hRule="atLeast"/>
          <w:jc w:val="center"/>
        </w:trPr>
        <w:tc>
          <w:tcPr>
            <w:tcW w:w="3705" w:type="dxa"/>
            <w:gridSpan w:val="3"/>
            <w:tcBorders>
              <w:top w:val="nil"/>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14:paraId="049025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hAnsi="Times New Roman" w:eastAsia="仿宋_GB2312" w:cs="仿宋_GB2312"/>
                <w:sz w:val="28"/>
                <w:szCs w:val="28"/>
              </w:rPr>
              <w:t>二、上年结转政府信息公开申请数量</w:t>
            </w:r>
          </w:p>
        </w:tc>
        <w:tc>
          <w:tcPr>
            <w:tcW w:w="103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074CED1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55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5777AC3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55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02E66DB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690"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7FE63B8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660"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501FE48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55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73DE493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79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6885C1A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r>
      <w:tr w14:paraId="55BA73D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690" w:type="dxa"/>
            <w:vMerge w:val="restart"/>
            <w:tcBorders>
              <w:top w:val="nil"/>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14:paraId="0734C0F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hAnsi="Times New Roman" w:eastAsia="仿宋_GB2312" w:cs="仿宋_GB2312"/>
                <w:sz w:val="28"/>
                <w:szCs w:val="28"/>
              </w:rPr>
              <w:t>三、本年度办理结果</w:t>
            </w:r>
          </w:p>
        </w:tc>
        <w:tc>
          <w:tcPr>
            <w:tcW w:w="3015" w:type="dxa"/>
            <w:gridSpan w:val="2"/>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5765E63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hAnsi="Times New Roman" w:eastAsia="仿宋_GB2312" w:cs="仿宋_GB2312"/>
                <w:sz w:val="28"/>
                <w:szCs w:val="28"/>
              </w:rPr>
              <w:t>（一）予以公开</w:t>
            </w:r>
          </w:p>
        </w:tc>
        <w:tc>
          <w:tcPr>
            <w:tcW w:w="103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2CB1EFC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55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63BF2EF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55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2AED682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690"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75C77BB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660"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5BFDF36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55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63A3EFF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795" w:type="dxa"/>
            <w:tcBorders>
              <w:top w:val="single" w:color="auto" w:sz="6" w:space="0"/>
              <w:left w:val="nil"/>
              <w:bottom w:val="single" w:color="auto" w:sz="6" w:space="0"/>
              <w:right w:val="single" w:color="auto" w:sz="6" w:space="0"/>
            </w:tcBorders>
            <w:shd w:val="clear" w:color="auto" w:fill="auto"/>
            <w:tcMar>
              <w:left w:w="105" w:type="dxa"/>
              <w:bottom w:w="0" w:type="dxa"/>
              <w:right w:w="105" w:type="dxa"/>
            </w:tcMar>
            <w:vAlign w:val="center"/>
          </w:tcPr>
          <w:p w14:paraId="1C971B5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r>
      <w:tr w14:paraId="468FB85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690" w:type="dxa"/>
            <w:vMerge w:val="continue"/>
            <w:tcBorders>
              <w:top w:val="nil"/>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14:paraId="5200837F">
            <w:pPr>
              <w:rPr>
                <w:rFonts w:hint="eastAsia" w:ascii="宋体"/>
                <w:sz w:val="24"/>
                <w:szCs w:val="24"/>
              </w:rPr>
            </w:pPr>
          </w:p>
        </w:tc>
        <w:tc>
          <w:tcPr>
            <w:tcW w:w="3015" w:type="dxa"/>
            <w:gridSpan w:val="2"/>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616AAD3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hAnsi="Times New Roman" w:eastAsia="仿宋_GB2312" w:cs="仿宋_GB2312"/>
                <w:sz w:val="28"/>
                <w:szCs w:val="28"/>
              </w:rPr>
              <w:t>（二）部分公开（</w:t>
            </w:r>
            <w:bookmarkStart w:id="1" w:name="_Hlk66973981"/>
            <w:r>
              <w:rPr>
                <w:rFonts w:hint="default" w:ascii="仿宋_GB2312" w:hAnsi="Times New Roman" w:eastAsia="仿宋_GB2312" w:cs="仿宋_GB2312"/>
                <w:sz w:val="28"/>
                <w:szCs w:val="28"/>
              </w:rPr>
              <w:t>区分处理的，只计这一情形，不计其他情形</w:t>
            </w:r>
            <w:bookmarkEnd w:id="1"/>
            <w:r>
              <w:rPr>
                <w:rFonts w:hint="default" w:ascii="仿宋_GB2312" w:hAnsi="Times New Roman" w:eastAsia="仿宋_GB2312" w:cs="仿宋_GB2312"/>
                <w:sz w:val="28"/>
                <w:szCs w:val="28"/>
              </w:rPr>
              <w:t>）</w:t>
            </w:r>
          </w:p>
        </w:tc>
        <w:tc>
          <w:tcPr>
            <w:tcW w:w="103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28E6A8D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55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0C0F271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55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4C13399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690"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6301FA7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660"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244D8CF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55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3D67E96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79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3EDBC97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r>
      <w:tr w14:paraId="02BE07D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690" w:type="dxa"/>
            <w:vMerge w:val="continue"/>
            <w:tcBorders>
              <w:top w:val="nil"/>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14:paraId="64292AB3">
            <w:pPr>
              <w:rPr>
                <w:rFonts w:hint="eastAsia" w:ascii="宋体"/>
                <w:sz w:val="24"/>
                <w:szCs w:val="24"/>
              </w:rPr>
            </w:pPr>
          </w:p>
        </w:tc>
        <w:tc>
          <w:tcPr>
            <w:tcW w:w="930" w:type="dxa"/>
            <w:vMerge w:val="restart"/>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21472C3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hAnsi="Times New Roman" w:eastAsia="仿宋_GB2312" w:cs="仿宋_GB2312"/>
                <w:sz w:val="28"/>
                <w:szCs w:val="28"/>
              </w:rPr>
              <w:t>（三）不予公开</w:t>
            </w:r>
          </w:p>
        </w:tc>
        <w:tc>
          <w:tcPr>
            <w:tcW w:w="208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66A1828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Times New Roman" w:hAnsi="Times New Roman" w:cs="Times New Roman"/>
                <w:sz w:val="28"/>
                <w:szCs w:val="28"/>
              </w:rPr>
              <w:t>1.</w:t>
            </w:r>
            <w:r>
              <w:rPr>
                <w:rFonts w:hint="default" w:ascii="仿宋_GB2312" w:hAnsi="Times New Roman" w:eastAsia="仿宋_GB2312" w:cs="仿宋_GB2312"/>
                <w:sz w:val="28"/>
                <w:szCs w:val="28"/>
              </w:rPr>
              <w:t>属于国家秘密</w:t>
            </w:r>
          </w:p>
        </w:tc>
        <w:tc>
          <w:tcPr>
            <w:tcW w:w="103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7637A2E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55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765C75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55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06CAECE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690"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7E77EFD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660"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60C42FD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55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0D25C9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795" w:type="dxa"/>
            <w:tcBorders>
              <w:top w:val="single" w:color="auto" w:sz="6" w:space="0"/>
              <w:left w:val="nil"/>
              <w:bottom w:val="single" w:color="auto" w:sz="6" w:space="0"/>
              <w:right w:val="single" w:color="auto" w:sz="6" w:space="0"/>
            </w:tcBorders>
            <w:shd w:val="clear" w:color="auto" w:fill="auto"/>
            <w:tcMar>
              <w:left w:w="105" w:type="dxa"/>
              <w:bottom w:w="0" w:type="dxa"/>
              <w:right w:w="105" w:type="dxa"/>
            </w:tcMar>
            <w:vAlign w:val="center"/>
          </w:tcPr>
          <w:p w14:paraId="27797FE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r>
      <w:tr w14:paraId="4400B59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690" w:type="dxa"/>
            <w:vMerge w:val="continue"/>
            <w:tcBorders>
              <w:top w:val="nil"/>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14:paraId="45A7780F">
            <w:pPr>
              <w:rPr>
                <w:rFonts w:hint="eastAsia" w:ascii="宋体"/>
                <w:sz w:val="24"/>
                <w:szCs w:val="24"/>
              </w:rPr>
            </w:pPr>
          </w:p>
        </w:tc>
        <w:tc>
          <w:tcPr>
            <w:tcW w:w="930" w:type="dxa"/>
            <w:vMerge w:val="continue"/>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1152158C">
            <w:pPr>
              <w:rPr>
                <w:rFonts w:hint="eastAsia" w:ascii="宋体"/>
                <w:sz w:val="24"/>
                <w:szCs w:val="24"/>
              </w:rPr>
            </w:pPr>
          </w:p>
        </w:tc>
        <w:tc>
          <w:tcPr>
            <w:tcW w:w="208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3CA44AF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Times New Roman" w:hAnsi="Times New Roman" w:cs="Times New Roman"/>
                <w:sz w:val="28"/>
                <w:szCs w:val="28"/>
              </w:rPr>
              <w:t>2.</w:t>
            </w:r>
            <w:bookmarkStart w:id="2" w:name="_Hlk66974104"/>
            <w:r>
              <w:rPr>
                <w:rFonts w:hint="default" w:ascii="仿宋_GB2312" w:hAnsi="Times New Roman" w:eastAsia="仿宋_GB2312" w:cs="仿宋_GB2312"/>
                <w:sz w:val="28"/>
                <w:szCs w:val="28"/>
              </w:rPr>
              <w:t>其他法律行政法规禁止公开</w:t>
            </w:r>
            <w:bookmarkEnd w:id="2"/>
          </w:p>
        </w:tc>
        <w:tc>
          <w:tcPr>
            <w:tcW w:w="103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216D8B2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55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3409746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55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5E9A36E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690"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729F4E1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660"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7A10419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55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1B2CE10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79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1590679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r>
      <w:tr w14:paraId="04AD383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690" w:type="dxa"/>
            <w:vMerge w:val="continue"/>
            <w:tcBorders>
              <w:top w:val="nil"/>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14:paraId="7E686504">
            <w:pPr>
              <w:rPr>
                <w:rFonts w:hint="eastAsia" w:ascii="宋体"/>
                <w:sz w:val="24"/>
                <w:szCs w:val="24"/>
              </w:rPr>
            </w:pPr>
          </w:p>
        </w:tc>
        <w:tc>
          <w:tcPr>
            <w:tcW w:w="930" w:type="dxa"/>
            <w:vMerge w:val="continue"/>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211452C1">
            <w:pPr>
              <w:rPr>
                <w:rFonts w:hint="eastAsia" w:ascii="宋体"/>
                <w:sz w:val="24"/>
                <w:szCs w:val="24"/>
              </w:rPr>
            </w:pPr>
          </w:p>
        </w:tc>
        <w:tc>
          <w:tcPr>
            <w:tcW w:w="208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1238534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Times New Roman" w:hAnsi="Times New Roman" w:cs="Times New Roman"/>
                <w:sz w:val="28"/>
                <w:szCs w:val="28"/>
              </w:rPr>
              <w:t>3.</w:t>
            </w:r>
            <w:r>
              <w:rPr>
                <w:rFonts w:hint="default" w:ascii="仿宋_GB2312" w:hAnsi="Times New Roman" w:eastAsia="仿宋_GB2312" w:cs="仿宋_GB2312"/>
                <w:sz w:val="28"/>
                <w:szCs w:val="28"/>
              </w:rPr>
              <w:t>危及</w:t>
            </w:r>
            <w:r>
              <w:rPr>
                <w:rFonts w:hint="default" w:ascii="Times New Roman" w:hAnsi="Times New Roman" w:cs="Times New Roman"/>
                <w:sz w:val="28"/>
                <w:szCs w:val="28"/>
              </w:rPr>
              <w:t>“</w:t>
            </w:r>
            <w:r>
              <w:rPr>
                <w:rFonts w:hint="default" w:ascii="仿宋_GB2312" w:hAnsi="Times New Roman" w:eastAsia="仿宋_GB2312" w:cs="仿宋_GB2312"/>
                <w:sz w:val="28"/>
                <w:szCs w:val="28"/>
              </w:rPr>
              <w:t>三安全一稳定</w:t>
            </w:r>
            <w:r>
              <w:rPr>
                <w:rFonts w:hint="default" w:ascii="Times New Roman" w:hAnsi="Times New Roman" w:cs="Times New Roman"/>
                <w:sz w:val="28"/>
                <w:szCs w:val="28"/>
              </w:rPr>
              <w:t>”</w:t>
            </w:r>
          </w:p>
        </w:tc>
        <w:tc>
          <w:tcPr>
            <w:tcW w:w="103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3A10DCF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55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018F3B7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55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5230DB0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690"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6CA3B16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660"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4FDF4FC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55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6F12C4F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79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1B666D2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r>
      <w:tr w14:paraId="1C4B515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690" w:type="dxa"/>
            <w:vMerge w:val="continue"/>
            <w:tcBorders>
              <w:top w:val="nil"/>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14:paraId="04C33211">
            <w:pPr>
              <w:rPr>
                <w:rFonts w:hint="eastAsia" w:ascii="宋体"/>
                <w:sz w:val="24"/>
                <w:szCs w:val="24"/>
              </w:rPr>
            </w:pPr>
          </w:p>
        </w:tc>
        <w:tc>
          <w:tcPr>
            <w:tcW w:w="930" w:type="dxa"/>
            <w:vMerge w:val="continue"/>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31D5EA42">
            <w:pPr>
              <w:rPr>
                <w:rFonts w:hint="eastAsia" w:ascii="宋体"/>
                <w:sz w:val="24"/>
                <w:szCs w:val="24"/>
              </w:rPr>
            </w:pPr>
          </w:p>
        </w:tc>
        <w:tc>
          <w:tcPr>
            <w:tcW w:w="208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5CB297E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Times New Roman" w:hAnsi="Times New Roman" w:cs="Times New Roman"/>
                <w:sz w:val="28"/>
                <w:szCs w:val="28"/>
              </w:rPr>
              <w:t>4.</w:t>
            </w:r>
            <w:bookmarkStart w:id="3" w:name="_Hlk66974290"/>
            <w:r>
              <w:rPr>
                <w:rFonts w:hint="default" w:ascii="仿宋_GB2312" w:hAnsi="Times New Roman" w:eastAsia="仿宋_GB2312" w:cs="仿宋_GB2312"/>
                <w:sz w:val="28"/>
                <w:szCs w:val="28"/>
              </w:rPr>
              <w:t>保护第三方合法权益</w:t>
            </w:r>
            <w:bookmarkEnd w:id="3"/>
          </w:p>
        </w:tc>
        <w:tc>
          <w:tcPr>
            <w:tcW w:w="103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2C02227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55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3CA6C93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55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5BB95CD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690"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550C791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660"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283F03F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55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4E2953F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79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3611B3E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r>
      <w:tr w14:paraId="7ADBA15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690" w:type="dxa"/>
            <w:vMerge w:val="continue"/>
            <w:tcBorders>
              <w:top w:val="nil"/>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14:paraId="0BA659DE">
            <w:pPr>
              <w:rPr>
                <w:rFonts w:hint="eastAsia" w:ascii="宋体"/>
                <w:sz w:val="24"/>
                <w:szCs w:val="24"/>
              </w:rPr>
            </w:pPr>
          </w:p>
        </w:tc>
        <w:tc>
          <w:tcPr>
            <w:tcW w:w="930" w:type="dxa"/>
            <w:vMerge w:val="continue"/>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2C4DE684">
            <w:pPr>
              <w:rPr>
                <w:rFonts w:hint="eastAsia" w:ascii="宋体"/>
                <w:sz w:val="24"/>
                <w:szCs w:val="24"/>
              </w:rPr>
            </w:pPr>
          </w:p>
        </w:tc>
        <w:tc>
          <w:tcPr>
            <w:tcW w:w="208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55D991F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Times New Roman" w:hAnsi="Times New Roman" w:cs="Times New Roman"/>
                <w:sz w:val="28"/>
                <w:szCs w:val="28"/>
              </w:rPr>
              <w:t>5.</w:t>
            </w:r>
            <w:r>
              <w:rPr>
                <w:rFonts w:hint="default" w:ascii="仿宋_GB2312" w:hAnsi="Times New Roman" w:eastAsia="仿宋_GB2312" w:cs="仿宋_GB2312"/>
                <w:sz w:val="28"/>
                <w:szCs w:val="28"/>
              </w:rPr>
              <w:t>属于三类内部事务信息</w:t>
            </w:r>
          </w:p>
        </w:tc>
        <w:tc>
          <w:tcPr>
            <w:tcW w:w="103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2BAFEB6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55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3FD528C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55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6BA810D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690"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4615DAA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660"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50BA520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55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4A9D128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79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3E25F86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r>
      <w:tr w14:paraId="424CF22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690" w:type="dxa"/>
            <w:vMerge w:val="continue"/>
            <w:tcBorders>
              <w:top w:val="nil"/>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14:paraId="1F119C23">
            <w:pPr>
              <w:rPr>
                <w:rFonts w:hint="eastAsia" w:ascii="宋体"/>
                <w:sz w:val="24"/>
                <w:szCs w:val="24"/>
              </w:rPr>
            </w:pPr>
          </w:p>
        </w:tc>
        <w:tc>
          <w:tcPr>
            <w:tcW w:w="930" w:type="dxa"/>
            <w:vMerge w:val="continue"/>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21B873B5">
            <w:pPr>
              <w:rPr>
                <w:rFonts w:hint="eastAsia" w:ascii="宋体"/>
                <w:sz w:val="24"/>
                <w:szCs w:val="24"/>
              </w:rPr>
            </w:pPr>
          </w:p>
        </w:tc>
        <w:tc>
          <w:tcPr>
            <w:tcW w:w="208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025D8F0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Times New Roman" w:hAnsi="Times New Roman" w:cs="Times New Roman"/>
                <w:sz w:val="28"/>
                <w:szCs w:val="28"/>
              </w:rPr>
              <w:t>6.</w:t>
            </w:r>
            <w:bookmarkStart w:id="4" w:name="_Hlk66974555"/>
            <w:r>
              <w:rPr>
                <w:rFonts w:hint="default" w:ascii="仿宋_GB2312" w:hAnsi="Times New Roman" w:eastAsia="仿宋_GB2312" w:cs="仿宋_GB2312"/>
                <w:sz w:val="28"/>
                <w:szCs w:val="28"/>
              </w:rPr>
              <w:t>属于四类过程性信息</w:t>
            </w:r>
            <w:bookmarkEnd w:id="4"/>
          </w:p>
        </w:tc>
        <w:tc>
          <w:tcPr>
            <w:tcW w:w="103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3D97B13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55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366FDBC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55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0366AE6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690"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3557D40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660"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5862BB6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55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6459A76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79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3585B2B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r>
      <w:tr w14:paraId="692DAD3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690" w:type="dxa"/>
            <w:vMerge w:val="continue"/>
            <w:tcBorders>
              <w:top w:val="nil"/>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14:paraId="5D70E6B6">
            <w:pPr>
              <w:rPr>
                <w:rFonts w:hint="eastAsia" w:ascii="宋体"/>
                <w:sz w:val="24"/>
                <w:szCs w:val="24"/>
              </w:rPr>
            </w:pPr>
          </w:p>
        </w:tc>
        <w:tc>
          <w:tcPr>
            <w:tcW w:w="930" w:type="dxa"/>
            <w:vMerge w:val="continue"/>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63FFE7D2">
            <w:pPr>
              <w:rPr>
                <w:rFonts w:hint="eastAsia" w:ascii="宋体"/>
                <w:sz w:val="24"/>
                <w:szCs w:val="24"/>
              </w:rPr>
            </w:pPr>
          </w:p>
        </w:tc>
        <w:tc>
          <w:tcPr>
            <w:tcW w:w="208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5E26AC0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Times New Roman" w:hAnsi="Times New Roman" w:cs="Times New Roman"/>
                <w:sz w:val="28"/>
                <w:szCs w:val="28"/>
              </w:rPr>
              <w:t>7.</w:t>
            </w:r>
            <w:r>
              <w:rPr>
                <w:rFonts w:hint="default" w:ascii="仿宋_GB2312" w:hAnsi="Times New Roman" w:eastAsia="仿宋_GB2312" w:cs="仿宋_GB2312"/>
                <w:sz w:val="28"/>
                <w:szCs w:val="28"/>
              </w:rPr>
              <w:t>属于行政执法案卷</w:t>
            </w:r>
          </w:p>
        </w:tc>
        <w:tc>
          <w:tcPr>
            <w:tcW w:w="103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2AA6A4E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55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5CE4E56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55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20BA9F6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690"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34FC4E4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660"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15486BC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55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12BF024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79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00B3BEE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r>
      <w:tr w14:paraId="41B3328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690" w:type="dxa"/>
            <w:vMerge w:val="continue"/>
            <w:tcBorders>
              <w:top w:val="nil"/>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14:paraId="2AAAB56C">
            <w:pPr>
              <w:rPr>
                <w:rFonts w:hint="eastAsia" w:ascii="宋体"/>
                <w:sz w:val="24"/>
                <w:szCs w:val="24"/>
              </w:rPr>
            </w:pPr>
          </w:p>
        </w:tc>
        <w:tc>
          <w:tcPr>
            <w:tcW w:w="930" w:type="dxa"/>
            <w:vMerge w:val="continue"/>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5354A638">
            <w:pPr>
              <w:rPr>
                <w:rFonts w:hint="eastAsia" w:ascii="宋体"/>
                <w:sz w:val="24"/>
                <w:szCs w:val="24"/>
              </w:rPr>
            </w:pPr>
          </w:p>
        </w:tc>
        <w:tc>
          <w:tcPr>
            <w:tcW w:w="208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46ABE41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Times New Roman" w:hAnsi="Times New Roman" w:cs="Times New Roman"/>
                <w:sz w:val="28"/>
                <w:szCs w:val="28"/>
              </w:rPr>
              <w:t>8.</w:t>
            </w:r>
            <w:bookmarkStart w:id="5" w:name="_Hlk66975211"/>
            <w:r>
              <w:rPr>
                <w:rFonts w:hint="default" w:ascii="仿宋_GB2312" w:hAnsi="Times New Roman" w:eastAsia="仿宋_GB2312" w:cs="仿宋_GB2312"/>
                <w:sz w:val="28"/>
                <w:szCs w:val="28"/>
              </w:rPr>
              <w:t>属于行政查询事项</w:t>
            </w:r>
            <w:bookmarkEnd w:id="5"/>
          </w:p>
        </w:tc>
        <w:tc>
          <w:tcPr>
            <w:tcW w:w="103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636B26A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55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74B2F65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55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4999C33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690"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6888BA4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660"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3AD4E02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55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5B87859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79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099E7ED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r>
      <w:tr w14:paraId="3888316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690" w:type="dxa"/>
            <w:vMerge w:val="continue"/>
            <w:tcBorders>
              <w:top w:val="nil"/>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14:paraId="1145C647">
            <w:pPr>
              <w:rPr>
                <w:rFonts w:hint="eastAsia" w:ascii="宋体"/>
                <w:sz w:val="24"/>
                <w:szCs w:val="24"/>
              </w:rPr>
            </w:pPr>
          </w:p>
        </w:tc>
        <w:tc>
          <w:tcPr>
            <w:tcW w:w="930" w:type="dxa"/>
            <w:vMerge w:val="restart"/>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06F4773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hAnsi="Times New Roman" w:eastAsia="仿宋_GB2312" w:cs="仿宋_GB2312"/>
                <w:sz w:val="28"/>
                <w:szCs w:val="28"/>
              </w:rPr>
              <w:t>（四）无法提供</w:t>
            </w:r>
          </w:p>
        </w:tc>
        <w:tc>
          <w:tcPr>
            <w:tcW w:w="208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3403B38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Times New Roman" w:hAnsi="Times New Roman" w:cs="Times New Roman"/>
                <w:sz w:val="28"/>
                <w:szCs w:val="28"/>
              </w:rPr>
              <w:t>1.</w:t>
            </w:r>
            <w:r>
              <w:rPr>
                <w:rFonts w:hint="default" w:ascii="仿宋_GB2312" w:hAnsi="Times New Roman" w:eastAsia="仿宋_GB2312" w:cs="仿宋_GB2312"/>
                <w:sz w:val="28"/>
                <w:szCs w:val="28"/>
              </w:rPr>
              <w:t>本机关不掌握相关政府信息</w:t>
            </w:r>
          </w:p>
        </w:tc>
        <w:tc>
          <w:tcPr>
            <w:tcW w:w="103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3554AD0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55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79F4451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55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7153C03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690"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7C5B1EA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660"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6C4D6B6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55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7629496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79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0F39902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r>
      <w:tr w14:paraId="7F96B00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690" w:type="dxa"/>
            <w:vMerge w:val="continue"/>
            <w:tcBorders>
              <w:top w:val="nil"/>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14:paraId="1107C219">
            <w:pPr>
              <w:rPr>
                <w:rFonts w:hint="eastAsia" w:ascii="宋体"/>
                <w:sz w:val="24"/>
                <w:szCs w:val="24"/>
              </w:rPr>
            </w:pPr>
          </w:p>
        </w:tc>
        <w:tc>
          <w:tcPr>
            <w:tcW w:w="930" w:type="dxa"/>
            <w:vMerge w:val="continue"/>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015491A0">
            <w:pPr>
              <w:rPr>
                <w:rFonts w:hint="eastAsia" w:ascii="宋体"/>
                <w:sz w:val="24"/>
                <w:szCs w:val="24"/>
              </w:rPr>
            </w:pPr>
          </w:p>
        </w:tc>
        <w:tc>
          <w:tcPr>
            <w:tcW w:w="208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1A7FB61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Times New Roman" w:hAnsi="Times New Roman" w:cs="Times New Roman"/>
                <w:sz w:val="28"/>
                <w:szCs w:val="28"/>
              </w:rPr>
              <w:t>2.</w:t>
            </w:r>
            <w:bookmarkStart w:id="6" w:name="_Hlk66975392"/>
            <w:r>
              <w:rPr>
                <w:rFonts w:hint="default" w:ascii="仿宋_GB2312" w:hAnsi="Times New Roman" w:eastAsia="仿宋_GB2312" w:cs="仿宋_GB2312"/>
                <w:sz w:val="28"/>
                <w:szCs w:val="28"/>
              </w:rPr>
              <w:t>没有现成信息需要另行制作</w:t>
            </w:r>
            <w:bookmarkEnd w:id="6"/>
          </w:p>
        </w:tc>
        <w:tc>
          <w:tcPr>
            <w:tcW w:w="103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757D768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55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1E3B882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55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66D38FE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690"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16FA797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660"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29164B9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55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11DBA17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79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359C56A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r>
      <w:tr w14:paraId="4283E16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690" w:type="dxa"/>
            <w:vMerge w:val="continue"/>
            <w:tcBorders>
              <w:top w:val="nil"/>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14:paraId="52B399B9">
            <w:pPr>
              <w:rPr>
                <w:rFonts w:hint="eastAsia" w:ascii="宋体"/>
                <w:sz w:val="24"/>
                <w:szCs w:val="24"/>
              </w:rPr>
            </w:pPr>
          </w:p>
        </w:tc>
        <w:tc>
          <w:tcPr>
            <w:tcW w:w="930" w:type="dxa"/>
            <w:vMerge w:val="continue"/>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4F961E92">
            <w:pPr>
              <w:rPr>
                <w:rFonts w:hint="eastAsia" w:ascii="宋体"/>
                <w:sz w:val="24"/>
                <w:szCs w:val="24"/>
              </w:rPr>
            </w:pPr>
          </w:p>
        </w:tc>
        <w:tc>
          <w:tcPr>
            <w:tcW w:w="208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6BBA80C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Times New Roman" w:hAnsi="Times New Roman" w:cs="Times New Roman"/>
                <w:sz w:val="28"/>
                <w:szCs w:val="28"/>
              </w:rPr>
              <w:t>3.</w:t>
            </w:r>
            <w:bookmarkStart w:id="7" w:name="_Hlk66975466"/>
            <w:r>
              <w:rPr>
                <w:rFonts w:hint="default" w:ascii="仿宋_GB2312" w:hAnsi="Times New Roman" w:eastAsia="仿宋_GB2312" w:cs="仿宋_GB2312"/>
                <w:sz w:val="28"/>
                <w:szCs w:val="28"/>
              </w:rPr>
              <w:t>补正后申请内容仍不明确</w:t>
            </w:r>
            <w:bookmarkEnd w:id="7"/>
          </w:p>
        </w:tc>
        <w:tc>
          <w:tcPr>
            <w:tcW w:w="103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635351B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55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091ADF5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55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23C7CFE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690"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1BE8446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660"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5E3FEA2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55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1775C98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79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1B79296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r>
      <w:tr w14:paraId="30C322F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690" w:type="dxa"/>
            <w:vMerge w:val="continue"/>
            <w:tcBorders>
              <w:top w:val="nil"/>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14:paraId="2B73C923">
            <w:pPr>
              <w:rPr>
                <w:rFonts w:hint="eastAsia" w:ascii="宋体"/>
                <w:sz w:val="24"/>
                <w:szCs w:val="24"/>
              </w:rPr>
            </w:pPr>
          </w:p>
        </w:tc>
        <w:tc>
          <w:tcPr>
            <w:tcW w:w="930" w:type="dxa"/>
            <w:vMerge w:val="restart"/>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08308DD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hAnsi="Times New Roman" w:eastAsia="仿宋_GB2312" w:cs="仿宋_GB2312"/>
                <w:sz w:val="28"/>
                <w:szCs w:val="28"/>
              </w:rPr>
              <w:t>（五）不予处理</w:t>
            </w:r>
          </w:p>
        </w:tc>
        <w:tc>
          <w:tcPr>
            <w:tcW w:w="208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73248D2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Times New Roman" w:hAnsi="Times New Roman" w:cs="Times New Roman"/>
                <w:sz w:val="28"/>
                <w:szCs w:val="28"/>
              </w:rPr>
              <w:t>1.</w:t>
            </w:r>
            <w:bookmarkStart w:id="8" w:name="_Hlk66975537"/>
            <w:r>
              <w:rPr>
                <w:rFonts w:hint="default" w:ascii="仿宋_GB2312" w:hAnsi="Times New Roman" w:eastAsia="仿宋_GB2312" w:cs="仿宋_GB2312"/>
                <w:sz w:val="28"/>
                <w:szCs w:val="28"/>
              </w:rPr>
              <w:t>信访举报投诉类申请</w:t>
            </w:r>
            <w:bookmarkEnd w:id="8"/>
          </w:p>
        </w:tc>
        <w:tc>
          <w:tcPr>
            <w:tcW w:w="103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2161E2C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55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44B2EE4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55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018EA03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690"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29CE4E4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660"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4D8F97C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55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2176C31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79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13E933E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r>
      <w:tr w14:paraId="215C37D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690" w:type="dxa"/>
            <w:vMerge w:val="continue"/>
            <w:tcBorders>
              <w:top w:val="nil"/>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14:paraId="2EEE9064">
            <w:pPr>
              <w:rPr>
                <w:rFonts w:hint="eastAsia" w:ascii="宋体"/>
                <w:sz w:val="24"/>
                <w:szCs w:val="24"/>
              </w:rPr>
            </w:pPr>
          </w:p>
        </w:tc>
        <w:tc>
          <w:tcPr>
            <w:tcW w:w="930" w:type="dxa"/>
            <w:vMerge w:val="continue"/>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32642574">
            <w:pPr>
              <w:rPr>
                <w:rFonts w:hint="eastAsia" w:ascii="宋体"/>
                <w:sz w:val="24"/>
                <w:szCs w:val="24"/>
              </w:rPr>
            </w:pPr>
          </w:p>
        </w:tc>
        <w:tc>
          <w:tcPr>
            <w:tcW w:w="208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21D46AC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Times New Roman" w:hAnsi="Times New Roman" w:cs="Times New Roman"/>
                <w:sz w:val="28"/>
                <w:szCs w:val="28"/>
              </w:rPr>
              <w:t>2.</w:t>
            </w:r>
            <w:r>
              <w:rPr>
                <w:rFonts w:hint="default" w:ascii="仿宋_GB2312" w:hAnsi="Times New Roman" w:eastAsia="仿宋_GB2312" w:cs="仿宋_GB2312"/>
                <w:sz w:val="28"/>
                <w:szCs w:val="28"/>
              </w:rPr>
              <w:t>重复申请</w:t>
            </w:r>
          </w:p>
        </w:tc>
        <w:tc>
          <w:tcPr>
            <w:tcW w:w="103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03FB95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55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3B6B3C3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55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6AE5325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690"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52CEAB1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660"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261225D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55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6DB0E5B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79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4032AB7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r>
      <w:tr w14:paraId="7A53D9C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690" w:type="dxa"/>
            <w:vMerge w:val="continue"/>
            <w:tcBorders>
              <w:top w:val="nil"/>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14:paraId="53AF418D">
            <w:pPr>
              <w:rPr>
                <w:rFonts w:hint="eastAsia" w:ascii="宋体"/>
                <w:sz w:val="24"/>
                <w:szCs w:val="24"/>
              </w:rPr>
            </w:pPr>
          </w:p>
        </w:tc>
        <w:tc>
          <w:tcPr>
            <w:tcW w:w="930" w:type="dxa"/>
            <w:vMerge w:val="continue"/>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2B5D5C16">
            <w:pPr>
              <w:rPr>
                <w:rFonts w:hint="eastAsia" w:ascii="宋体"/>
                <w:sz w:val="24"/>
                <w:szCs w:val="24"/>
              </w:rPr>
            </w:pPr>
          </w:p>
        </w:tc>
        <w:tc>
          <w:tcPr>
            <w:tcW w:w="208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502E8DA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Times New Roman" w:hAnsi="Times New Roman" w:cs="Times New Roman"/>
                <w:sz w:val="28"/>
                <w:szCs w:val="28"/>
              </w:rPr>
              <w:t>3.</w:t>
            </w:r>
            <w:r>
              <w:rPr>
                <w:rFonts w:hint="default" w:ascii="仿宋_GB2312" w:hAnsi="Times New Roman" w:eastAsia="仿宋_GB2312" w:cs="仿宋_GB2312"/>
                <w:sz w:val="28"/>
                <w:szCs w:val="28"/>
              </w:rPr>
              <w:t>要求提供公开出版物</w:t>
            </w:r>
          </w:p>
        </w:tc>
        <w:tc>
          <w:tcPr>
            <w:tcW w:w="103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63F8533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55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0E36603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55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26A8BA5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690"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2BF3E56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660"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340EF4C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55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479F1B4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79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414B9FF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r>
      <w:tr w14:paraId="5C9F01C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90" w:hRule="atLeast"/>
          <w:jc w:val="center"/>
        </w:trPr>
        <w:tc>
          <w:tcPr>
            <w:tcW w:w="690" w:type="dxa"/>
            <w:vMerge w:val="continue"/>
            <w:tcBorders>
              <w:top w:val="nil"/>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14:paraId="3838B1BD">
            <w:pPr>
              <w:rPr>
                <w:rFonts w:hint="eastAsia" w:ascii="宋体"/>
                <w:sz w:val="24"/>
                <w:szCs w:val="24"/>
              </w:rPr>
            </w:pPr>
          </w:p>
        </w:tc>
        <w:tc>
          <w:tcPr>
            <w:tcW w:w="930" w:type="dxa"/>
            <w:vMerge w:val="continue"/>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6B33A48E">
            <w:pPr>
              <w:rPr>
                <w:rFonts w:hint="eastAsia" w:ascii="宋体"/>
                <w:sz w:val="24"/>
                <w:szCs w:val="24"/>
              </w:rPr>
            </w:pPr>
          </w:p>
        </w:tc>
        <w:tc>
          <w:tcPr>
            <w:tcW w:w="208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458BF50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Times New Roman" w:hAnsi="Times New Roman" w:cs="Times New Roman"/>
                <w:sz w:val="28"/>
                <w:szCs w:val="28"/>
              </w:rPr>
              <w:t>4.</w:t>
            </w:r>
            <w:r>
              <w:rPr>
                <w:rFonts w:hint="default" w:ascii="仿宋_GB2312" w:hAnsi="Times New Roman" w:eastAsia="仿宋_GB2312" w:cs="仿宋_GB2312"/>
                <w:sz w:val="28"/>
                <w:szCs w:val="28"/>
              </w:rPr>
              <w:t>无正当理由大量反复申请</w:t>
            </w:r>
          </w:p>
        </w:tc>
        <w:tc>
          <w:tcPr>
            <w:tcW w:w="103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26192A0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55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667C1DC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55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19FDA2E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690"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59E352B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660"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16CA13C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55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7C8BC57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79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782DB89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r>
      <w:tr w14:paraId="1236D08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690" w:type="dxa"/>
            <w:vMerge w:val="continue"/>
            <w:tcBorders>
              <w:top w:val="nil"/>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14:paraId="4CD6C3C7">
            <w:pPr>
              <w:rPr>
                <w:rFonts w:hint="eastAsia" w:ascii="宋体"/>
                <w:sz w:val="24"/>
                <w:szCs w:val="24"/>
              </w:rPr>
            </w:pPr>
          </w:p>
        </w:tc>
        <w:tc>
          <w:tcPr>
            <w:tcW w:w="930" w:type="dxa"/>
            <w:vMerge w:val="continue"/>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094E8147">
            <w:pPr>
              <w:rPr>
                <w:rFonts w:hint="eastAsia" w:ascii="宋体"/>
                <w:sz w:val="24"/>
                <w:szCs w:val="24"/>
              </w:rPr>
            </w:pPr>
          </w:p>
        </w:tc>
        <w:tc>
          <w:tcPr>
            <w:tcW w:w="208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1AA9A49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Times New Roman" w:hAnsi="Times New Roman" w:cs="Times New Roman"/>
                <w:sz w:val="28"/>
                <w:szCs w:val="28"/>
              </w:rPr>
              <w:t>5.</w:t>
            </w:r>
            <w:r>
              <w:rPr>
                <w:rFonts w:hint="default" w:ascii="仿宋_GB2312" w:hAnsi="Times New Roman" w:eastAsia="仿宋_GB2312" w:cs="仿宋_GB2312"/>
                <w:sz w:val="28"/>
                <w:szCs w:val="28"/>
              </w:rPr>
              <w:t>要求行政机关确认或重新出具已获取信息</w:t>
            </w:r>
          </w:p>
        </w:tc>
        <w:tc>
          <w:tcPr>
            <w:tcW w:w="103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3971312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55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072D60C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55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6FDE154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690"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47DA0D1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660"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6974AA3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55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62AB6EF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79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493AF15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r>
      <w:tr w14:paraId="5470296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690" w:type="dxa"/>
            <w:vMerge w:val="continue"/>
            <w:tcBorders>
              <w:top w:val="nil"/>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14:paraId="50805CCF">
            <w:pPr>
              <w:rPr>
                <w:rFonts w:hint="eastAsia" w:ascii="宋体"/>
                <w:sz w:val="24"/>
                <w:szCs w:val="24"/>
              </w:rPr>
            </w:pPr>
          </w:p>
        </w:tc>
        <w:tc>
          <w:tcPr>
            <w:tcW w:w="930" w:type="dxa"/>
            <w:vMerge w:val="restart"/>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42A14D5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hAnsi="Times New Roman" w:eastAsia="仿宋_GB2312" w:cs="仿宋_GB2312"/>
                <w:sz w:val="28"/>
                <w:szCs w:val="28"/>
              </w:rPr>
              <w:t>（六）其他处理</w:t>
            </w:r>
          </w:p>
        </w:tc>
        <w:tc>
          <w:tcPr>
            <w:tcW w:w="2085" w:type="dxa"/>
            <w:tcBorders>
              <w:top w:val="nil"/>
              <w:left w:val="nil"/>
              <w:bottom w:val="single" w:color="auto" w:sz="6" w:space="0"/>
              <w:right w:val="single" w:color="auto" w:sz="6" w:space="0"/>
            </w:tcBorders>
            <w:shd w:val="clear" w:color="auto" w:fill="auto"/>
            <w:tcMar>
              <w:left w:w="0" w:type="dxa"/>
              <w:bottom w:w="0" w:type="dxa"/>
              <w:right w:w="0" w:type="dxa"/>
            </w:tcMar>
            <w:vAlign w:val="center"/>
          </w:tcPr>
          <w:p w14:paraId="0B5B3B8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Times New Roman" w:hAnsi="Times New Roman" w:cs="Times New Roman"/>
                <w:sz w:val="28"/>
                <w:szCs w:val="28"/>
              </w:rPr>
              <w:t>1.</w:t>
            </w:r>
            <w:r>
              <w:rPr>
                <w:rFonts w:hint="default" w:ascii="仿宋_GB2312" w:hAnsi="Times New Roman" w:eastAsia="仿宋_GB2312" w:cs="仿宋_GB2312"/>
                <w:sz w:val="28"/>
                <w:szCs w:val="28"/>
              </w:rPr>
              <w:t>申请人无正当理由逾期不补正、行政机关不再处理其政府信息公开申请</w:t>
            </w:r>
          </w:p>
        </w:tc>
        <w:tc>
          <w:tcPr>
            <w:tcW w:w="103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6144216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55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2BE8AB5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55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4CDB307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690"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02340D3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660"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7D08ABD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55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27571FE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79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1BF93CC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r>
      <w:tr w14:paraId="31590C5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690" w:type="dxa"/>
            <w:vMerge w:val="continue"/>
            <w:tcBorders>
              <w:top w:val="nil"/>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14:paraId="30B6393D">
            <w:pPr>
              <w:rPr>
                <w:rFonts w:hint="eastAsia" w:ascii="宋体"/>
                <w:sz w:val="24"/>
                <w:szCs w:val="24"/>
              </w:rPr>
            </w:pPr>
          </w:p>
        </w:tc>
        <w:tc>
          <w:tcPr>
            <w:tcW w:w="930" w:type="dxa"/>
            <w:vMerge w:val="continue"/>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58D0A13B">
            <w:pPr>
              <w:rPr>
                <w:rFonts w:hint="eastAsia" w:ascii="宋体"/>
                <w:sz w:val="24"/>
                <w:szCs w:val="24"/>
              </w:rPr>
            </w:pPr>
          </w:p>
        </w:tc>
        <w:tc>
          <w:tcPr>
            <w:tcW w:w="2085" w:type="dxa"/>
            <w:tcBorders>
              <w:top w:val="nil"/>
              <w:left w:val="nil"/>
              <w:bottom w:val="single" w:color="auto" w:sz="6" w:space="0"/>
              <w:right w:val="single" w:color="auto" w:sz="6" w:space="0"/>
            </w:tcBorders>
            <w:shd w:val="clear" w:color="auto" w:fill="auto"/>
            <w:tcMar>
              <w:left w:w="0" w:type="dxa"/>
              <w:bottom w:w="0" w:type="dxa"/>
              <w:right w:w="0" w:type="dxa"/>
            </w:tcMar>
            <w:vAlign w:val="center"/>
          </w:tcPr>
          <w:p w14:paraId="2462785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Times New Roman" w:hAnsi="Times New Roman" w:cs="Times New Roman"/>
                <w:sz w:val="28"/>
                <w:szCs w:val="28"/>
              </w:rPr>
              <w:t>2.</w:t>
            </w:r>
            <w:r>
              <w:rPr>
                <w:rFonts w:hint="default" w:ascii="仿宋_GB2312" w:hAnsi="Times New Roman" w:eastAsia="仿宋_GB2312" w:cs="仿宋_GB2312"/>
                <w:sz w:val="28"/>
                <w:szCs w:val="28"/>
              </w:rPr>
              <w:t>申请人逾期未按收费通知要求缴纳费用、行政机关不再处理其政府信息公开申请</w:t>
            </w:r>
          </w:p>
        </w:tc>
        <w:tc>
          <w:tcPr>
            <w:tcW w:w="103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101AC3E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55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3E9EACA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55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095437A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690"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774B8EB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660"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7398401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55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21C33F6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79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5FD496E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r>
      <w:tr w14:paraId="703E391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690" w:type="dxa"/>
            <w:vMerge w:val="continue"/>
            <w:tcBorders>
              <w:top w:val="nil"/>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14:paraId="46291A19">
            <w:pPr>
              <w:rPr>
                <w:rFonts w:hint="eastAsia" w:ascii="宋体"/>
                <w:sz w:val="24"/>
                <w:szCs w:val="24"/>
              </w:rPr>
            </w:pPr>
          </w:p>
        </w:tc>
        <w:tc>
          <w:tcPr>
            <w:tcW w:w="930" w:type="dxa"/>
            <w:vMerge w:val="continue"/>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46FD9745">
            <w:pPr>
              <w:rPr>
                <w:rFonts w:hint="eastAsia" w:ascii="宋体"/>
                <w:sz w:val="24"/>
                <w:szCs w:val="24"/>
              </w:rPr>
            </w:pPr>
          </w:p>
        </w:tc>
        <w:tc>
          <w:tcPr>
            <w:tcW w:w="2085" w:type="dxa"/>
            <w:tcBorders>
              <w:top w:val="nil"/>
              <w:left w:val="nil"/>
              <w:bottom w:val="single" w:color="auto" w:sz="6" w:space="0"/>
              <w:right w:val="single" w:color="auto" w:sz="6" w:space="0"/>
            </w:tcBorders>
            <w:shd w:val="clear" w:color="auto" w:fill="auto"/>
            <w:tcMar>
              <w:left w:w="0" w:type="dxa"/>
              <w:bottom w:w="0" w:type="dxa"/>
              <w:right w:w="0" w:type="dxa"/>
            </w:tcMar>
            <w:vAlign w:val="center"/>
          </w:tcPr>
          <w:p w14:paraId="17CA2A4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Times New Roman" w:hAnsi="Times New Roman" w:cs="Times New Roman"/>
                <w:sz w:val="28"/>
                <w:szCs w:val="28"/>
              </w:rPr>
              <w:t>3.</w:t>
            </w:r>
            <w:r>
              <w:rPr>
                <w:rFonts w:hint="default" w:ascii="仿宋_GB2312" w:hAnsi="Times New Roman" w:eastAsia="仿宋_GB2312" w:cs="仿宋_GB2312"/>
                <w:sz w:val="28"/>
                <w:szCs w:val="28"/>
              </w:rPr>
              <w:t>其他</w:t>
            </w:r>
          </w:p>
        </w:tc>
        <w:tc>
          <w:tcPr>
            <w:tcW w:w="103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512D2B0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55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21D5402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55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47697C4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690"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78BDEFC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660"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7D52836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55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4A2E248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79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72A1D03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r>
      <w:tr w14:paraId="0165D33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690" w:type="dxa"/>
            <w:vMerge w:val="continue"/>
            <w:tcBorders>
              <w:top w:val="nil"/>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14:paraId="75AAA3AF">
            <w:pPr>
              <w:rPr>
                <w:rFonts w:hint="eastAsia" w:ascii="宋体"/>
                <w:sz w:val="24"/>
                <w:szCs w:val="24"/>
              </w:rPr>
            </w:pPr>
          </w:p>
        </w:tc>
        <w:tc>
          <w:tcPr>
            <w:tcW w:w="3015" w:type="dxa"/>
            <w:gridSpan w:val="2"/>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1FF7B71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hAnsi="Times New Roman" w:eastAsia="仿宋_GB2312" w:cs="仿宋_GB2312"/>
                <w:sz w:val="28"/>
                <w:szCs w:val="28"/>
              </w:rPr>
              <w:t>（七）总计</w:t>
            </w:r>
          </w:p>
        </w:tc>
        <w:tc>
          <w:tcPr>
            <w:tcW w:w="103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5E84018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55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4DABE11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55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0491C70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690"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7158791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660"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06FB198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55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10BCAC7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79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4B26C77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r>
      <w:tr w14:paraId="1325B86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3705" w:type="dxa"/>
            <w:gridSpan w:val="3"/>
            <w:tcBorders>
              <w:top w:val="nil"/>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14:paraId="14D63A0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hAnsi="Times New Roman" w:eastAsia="仿宋_GB2312" w:cs="仿宋_GB2312"/>
                <w:sz w:val="28"/>
                <w:szCs w:val="28"/>
              </w:rPr>
              <w:t>四、结转下年度继续办理</w:t>
            </w:r>
          </w:p>
        </w:tc>
        <w:tc>
          <w:tcPr>
            <w:tcW w:w="103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000D13A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55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1764951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55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5135D2F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690"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582689C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660"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782463B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55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7322677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c>
          <w:tcPr>
            <w:tcW w:w="79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3A910A0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default" w:ascii="Times New Roman" w:hAnsi="Times New Roman" w:cs="Times New Roman"/>
                <w:sz w:val="28"/>
                <w:szCs w:val="28"/>
              </w:rPr>
              <w:t>0</w:t>
            </w:r>
          </w:p>
        </w:tc>
      </w:tr>
    </w:tbl>
    <w:p w14:paraId="73B38337">
      <w:pPr>
        <w:pStyle w:val="2"/>
        <w:keepNext w:val="0"/>
        <w:keepLines w:val="0"/>
        <w:widowControl/>
        <w:suppressLineNumbers w:val="0"/>
        <w:spacing w:line="555" w:lineRule="atLeast"/>
        <w:ind w:left="0" w:firstLine="630"/>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rPr>
        <w:t>三、主动公开政府信息情况</w:t>
      </w:r>
    </w:p>
    <w:tbl>
      <w:tblPr>
        <w:tblStyle w:val="3"/>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150" w:type="dxa"/>
          <w:bottom w:w="75" w:type="dxa"/>
          <w:right w:w="150" w:type="dxa"/>
        </w:tblCellMar>
      </w:tblPr>
      <w:tblGrid>
        <w:gridCol w:w="2955"/>
        <w:gridCol w:w="1290"/>
        <w:gridCol w:w="1335"/>
        <w:gridCol w:w="2550"/>
      </w:tblGrid>
      <w:tr w14:paraId="2C04160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8130" w:type="dxa"/>
            <w:gridSpan w:val="4"/>
            <w:tcBorders>
              <w:top w:val="outset" w:color="auto" w:sz="6" w:space="0"/>
              <w:left w:val="outset" w:color="auto" w:sz="6" w:space="0"/>
              <w:bottom w:val="outset" w:color="auto" w:sz="6" w:space="0"/>
              <w:right w:val="outset" w:color="auto" w:sz="6" w:space="0"/>
            </w:tcBorders>
            <w:shd w:val="clear" w:color="auto" w:fill="auto"/>
            <w:tcMar>
              <w:top w:w="75" w:type="dxa"/>
              <w:left w:w="75" w:type="dxa"/>
              <w:right w:w="75" w:type="dxa"/>
            </w:tcMar>
            <w:vAlign w:val="center"/>
          </w:tcPr>
          <w:p w14:paraId="1C22A26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hAnsi="Times New Roman" w:eastAsia="仿宋_GB2312" w:cs="仿宋_GB2312"/>
                <w:sz w:val="28"/>
                <w:szCs w:val="28"/>
              </w:rPr>
              <w:t>第二十条第（一）项</w:t>
            </w:r>
          </w:p>
        </w:tc>
      </w:tr>
      <w:tr w14:paraId="4E1BD5F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2955" w:type="dxa"/>
            <w:tcBorders>
              <w:top w:val="nil"/>
              <w:left w:val="outset" w:color="auto" w:sz="6" w:space="0"/>
              <w:bottom w:val="outset" w:color="auto" w:sz="6" w:space="0"/>
              <w:right w:val="outset" w:color="auto" w:sz="6" w:space="0"/>
            </w:tcBorders>
            <w:shd w:val="clear" w:color="auto" w:fill="auto"/>
            <w:tcMar>
              <w:top w:w="75" w:type="dxa"/>
              <w:left w:w="75" w:type="dxa"/>
              <w:right w:w="75" w:type="dxa"/>
            </w:tcMar>
            <w:vAlign w:val="center"/>
          </w:tcPr>
          <w:p w14:paraId="491DB82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hAnsi="Times New Roman" w:eastAsia="仿宋_GB2312" w:cs="仿宋_GB2312"/>
                <w:sz w:val="28"/>
                <w:szCs w:val="28"/>
              </w:rPr>
              <w:t>信息内容</w:t>
            </w:r>
          </w:p>
        </w:tc>
        <w:tc>
          <w:tcPr>
            <w:tcW w:w="1290" w:type="dxa"/>
            <w:tcBorders>
              <w:top w:val="outset" w:color="auto" w:sz="6" w:space="0"/>
              <w:left w:val="nil"/>
              <w:bottom w:val="outset" w:color="auto" w:sz="6" w:space="0"/>
              <w:right w:val="outset" w:color="auto" w:sz="6" w:space="0"/>
            </w:tcBorders>
            <w:shd w:val="clear" w:color="auto" w:fill="auto"/>
            <w:tcMar>
              <w:top w:w="75" w:type="dxa"/>
              <w:left w:w="75" w:type="dxa"/>
              <w:right w:w="75" w:type="dxa"/>
            </w:tcMar>
            <w:vAlign w:val="center"/>
          </w:tcPr>
          <w:p w14:paraId="74E5387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hAnsi="Times New Roman" w:eastAsia="仿宋_GB2312" w:cs="仿宋_GB2312"/>
                <w:sz w:val="28"/>
                <w:szCs w:val="28"/>
              </w:rPr>
              <w:t>本年制</w:t>
            </w:r>
          </w:p>
          <w:p w14:paraId="35B5F4D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hAnsi="Times New Roman" w:eastAsia="仿宋_GB2312" w:cs="仿宋_GB2312"/>
                <w:sz w:val="28"/>
                <w:szCs w:val="28"/>
              </w:rPr>
              <w:t>发件数</w:t>
            </w:r>
          </w:p>
        </w:tc>
        <w:tc>
          <w:tcPr>
            <w:tcW w:w="1335" w:type="dxa"/>
            <w:tcBorders>
              <w:top w:val="outset" w:color="auto" w:sz="6" w:space="0"/>
              <w:left w:val="nil"/>
              <w:bottom w:val="outset" w:color="auto" w:sz="6" w:space="0"/>
              <w:right w:val="outset" w:color="auto" w:sz="6" w:space="0"/>
            </w:tcBorders>
            <w:shd w:val="clear" w:color="auto" w:fill="auto"/>
            <w:tcMar>
              <w:top w:w="75" w:type="dxa"/>
              <w:left w:w="75" w:type="dxa"/>
              <w:right w:w="75" w:type="dxa"/>
            </w:tcMar>
            <w:vAlign w:val="center"/>
          </w:tcPr>
          <w:p w14:paraId="4FE858C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hAnsi="Times New Roman" w:eastAsia="仿宋_GB2312" w:cs="仿宋_GB2312"/>
                <w:sz w:val="28"/>
                <w:szCs w:val="28"/>
              </w:rPr>
              <w:t>本年废</w:t>
            </w:r>
          </w:p>
          <w:p w14:paraId="685248C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hAnsi="Times New Roman" w:eastAsia="仿宋_GB2312" w:cs="仿宋_GB2312"/>
                <w:sz w:val="28"/>
                <w:szCs w:val="28"/>
              </w:rPr>
              <w:t>止件数</w:t>
            </w:r>
          </w:p>
        </w:tc>
        <w:tc>
          <w:tcPr>
            <w:tcW w:w="2550" w:type="dxa"/>
            <w:tcBorders>
              <w:top w:val="outset" w:color="auto" w:sz="6" w:space="0"/>
              <w:left w:val="nil"/>
              <w:bottom w:val="outset" w:color="auto" w:sz="6" w:space="0"/>
              <w:right w:val="outset" w:color="auto" w:sz="6" w:space="0"/>
            </w:tcBorders>
            <w:shd w:val="clear" w:color="auto" w:fill="auto"/>
            <w:tcMar>
              <w:top w:w="75" w:type="dxa"/>
              <w:left w:w="75" w:type="dxa"/>
              <w:right w:w="75" w:type="dxa"/>
            </w:tcMar>
            <w:vAlign w:val="center"/>
          </w:tcPr>
          <w:p w14:paraId="2625354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hAnsi="Times New Roman" w:eastAsia="仿宋_GB2312" w:cs="仿宋_GB2312"/>
                <w:sz w:val="28"/>
                <w:szCs w:val="28"/>
              </w:rPr>
              <w:t>现行有效件数</w:t>
            </w:r>
          </w:p>
        </w:tc>
      </w:tr>
      <w:tr w14:paraId="247F6FA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90" w:hRule="atLeast"/>
          <w:jc w:val="center"/>
        </w:trPr>
        <w:tc>
          <w:tcPr>
            <w:tcW w:w="2955" w:type="dxa"/>
            <w:tcBorders>
              <w:top w:val="nil"/>
              <w:left w:val="outset" w:color="auto" w:sz="6" w:space="0"/>
              <w:bottom w:val="outset" w:color="auto" w:sz="6" w:space="0"/>
              <w:right w:val="outset" w:color="auto" w:sz="6" w:space="0"/>
            </w:tcBorders>
            <w:shd w:val="clear" w:color="auto" w:fill="auto"/>
            <w:tcMar>
              <w:top w:w="75" w:type="dxa"/>
              <w:left w:w="75" w:type="dxa"/>
              <w:right w:w="75" w:type="dxa"/>
            </w:tcMar>
            <w:vAlign w:val="center"/>
          </w:tcPr>
          <w:p w14:paraId="64BF40F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hAnsi="Times New Roman" w:eastAsia="仿宋_GB2312" w:cs="仿宋_GB2312"/>
                <w:sz w:val="28"/>
                <w:szCs w:val="28"/>
              </w:rPr>
              <w:t>规章</w:t>
            </w:r>
          </w:p>
        </w:tc>
        <w:tc>
          <w:tcPr>
            <w:tcW w:w="1290" w:type="dxa"/>
            <w:tcBorders>
              <w:top w:val="nil"/>
              <w:left w:val="nil"/>
              <w:bottom w:val="outset" w:color="auto" w:sz="6" w:space="0"/>
              <w:right w:val="outset" w:color="auto" w:sz="6" w:space="0"/>
            </w:tcBorders>
            <w:shd w:val="clear" w:color="auto" w:fill="auto"/>
            <w:tcMar>
              <w:top w:w="75" w:type="dxa"/>
              <w:left w:w="75" w:type="dxa"/>
              <w:right w:w="75" w:type="dxa"/>
            </w:tcMar>
            <w:vAlign w:val="center"/>
          </w:tcPr>
          <w:p w14:paraId="03663D3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Times New Roman" w:hAnsi="Times New Roman" w:cs="Times New Roman"/>
                <w:sz w:val="28"/>
                <w:szCs w:val="28"/>
              </w:rPr>
              <w:t>0</w:t>
            </w:r>
          </w:p>
        </w:tc>
        <w:tc>
          <w:tcPr>
            <w:tcW w:w="1335" w:type="dxa"/>
            <w:tcBorders>
              <w:top w:val="nil"/>
              <w:left w:val="nil"/>
              <w:bottom w:val="outset" w:color="auto" w:sz="6" w:space="0"/>
              <w:right w:val="outset" w:color="auto" w:sz="6" w:space="0"/>
            </w:tcBorders>
            <w:shd w:val="clear" w:color="auto" w:fill="auto"/>
            <w:tcMar>
              <w:top w:w="75" w:type="dxa"/>
              <w:left w:w="75" w:type="dxa"/>
              <w:right w:w="75" w:type="dxa"/>
            </w:tcMar>
            <w:vAlign w:val="center"/>
          </w:tcPr>
          <w:p w14:paraId="5644939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Times New Roman" w:hAnsi="Times New Roman" w:cs="Times New Roman"/>
                <w:sz w:val="28"/>
                <w:szCs w:val="28"/>
              </w:rPr>
              <w:t>0</w:t>
            </w:r>
          </w:p>
        </w:tc>
        <w:tc>
          <w:tcPr>
            <w:tcW w:w="2550" w:type="dxa"/>
            <w:tcBorders>
              <w:top w:val="nil"/>
              <w:left w:val="nil"/>
              <w:bottom w:val="outset" w:color="auto" w:sz="6" w:space="0"/>
              <w:right w:val="outset" w:color="auto" w:sz="6" w:space="0"/>
            </w:tcBorders>
            <w:shd w:val="clear" w:color="auto" w:fill="auto"/>
            <w:tcMar>
              <w:top w:w="75" w:type="dxa"/>
              <w:left w:w="75" w:type="dxa"/>
              <w:right w:w="75" w:type="dxa"/>
            </w:tcMar>
            <w:vAlign w:val="center"/>
          </w:tcPr>
          <w:p w14:paraId="62AC443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Times New Roman" w:hAnsi="Times New Roman" w:cs="Times New Roman"/>
                <w:sz w:val="28"/>
                <w:szCs w:val="28"/>
              </w:rPr>
              <w:t>0</w:t>
            </w:r>
          </w:p>
        </w:tc>
      </w:tr>
      <w:tr w14:paraId="2ABAB3A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2955" w:type="dxa"/>
            <w:tcBorders>
              <w:top w:val="nil"/>
              <w:left w:val="outset" w:color="auto" w:sz="6" w:space="0"/>
              <w:bottom w:val="outset" w:color="auto" w:sz="6" w:space="0"/>
              <w:right w:val="outset" w:color="auto" w:sz="6" w:space="0"/>
            </w:tcBorders>
            <w:shd w:val="clear" w:color="auto" w:fill="auto"/>
            <w:tcMar>
              <w:top w:w="75" w:type="dxa"/>
              <w:left w:w="75" w:type="dxa"/>
              <w:right w:w="75" w:type="dxa"/>
            </w:tcMar>
            <w:vAlign w:val="center"/>
          </w:tcPr>
          <w:p w14:paraId="68FA9E0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hAnsi="Times New Roman" w:eastAsia="仿宋_GB2312" w:cs="仿宋_GB2312"/>
                <w:sz w:val="28"/>
                <w:szCs w:val="28"/>
              </w:rPr>
              <w:t>行政规范性文件</w:t>
            </w:r>
          </w:p>
        </w:tc>
        <w:tc>
          <w:tcPr>
            <w:tcW w:w="1290" w:type="dxa"/>
            <w:tcBorders>
              <w:top w:val="nil"/>
              <w:left w:val="nil"/>
              <w:bottom w:val="outset" w:color="auto" w:sz="6" w:space="0"/>
              <w:right w:val="outset" w:color="auto" w:sz="6" w:space="0"/>
            </w:tcBorders>
            <w:shd w:val="clear" w:color="auto" w:fill="auto"/>
            <w:tcMar>
              <w:top w:w="75" w:type="dxa"/>
              <w:left w:w="75" w:type="dxa"/>
              <w:right w:w="75" w:type="dxa"/>
            </w:tcMar>
            <w:vAlign w:val="center"/>
          </w:tcPr>
          <w:p w14:paraId="4947A7F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Times New Roman" w:hAnsi="Times New Roman" w:cs="Times New Roman"/>
                <w:sz w:val="28"/>
                <w:szCs w:val="28"/>
              </w:rPr>
              <w:t>0</w:t>
            </w:r>
          </w:p>
        </w:tc>
        <w:tc>
          <w:tcPr>
            <w:tcW w:w="1335" w:type="dxa"/>
            <w:tcBorders>
              <w:top w:val="nil"/>
              <w:left w:val="nil"/>
              <w:bottom w:val="outset" w:color="auto" w:sz="6" w:space="0"/>
              <w:right w:val="outset" w:color="auto" w:sz="6" w:space="0"/>
            </w:tcBorders>
            <w:shd w:val="clear" w:color="auto" w:fill="auto"/>
            <w:tcMar>
              <w:top w:w="75" w:type="dxa"/>
              <w:left w:w="75" w:type="dxa"/>
              <w:right w:w="75" w:type="dxa"/>
            </w:tcMar>
            <w:vAlign w:val="center"/>
          </w:tcPr>
          <w:p w14:paraId="5A66199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Times New Roman" w:hAnsi="Times New Roman" w:cs="Times New Roman"/>
                <w:sz w:val="28"/>
                <w:szCs w:val="28"/>
              </w:rPr>
              <w:t>0</w:t>
            </w:r>
          </w:p>
        </w:tc>
        <w:tc>
          <w:tcPr>
            <w:tcW w:w="2550" w:type="dxa"/>
            <w:tcBorders>
              <w:top w:val="nil"/>
              <w:left w:val="nil"/>
              <w:bottom w:val="outset" w:color="auto" w:sz="6" w:space="0"/>
              <w:right w:val="outset" w:color="auto" w:sz="6" w:space="0"/>
            </w:tcBorders>
            <w:shd w:val="clear" w:color="auto" w:fill="auto"/>
            <w:tcMar>
              <w:top w:w="75" w:type="dxa"/>
              <w:left w:w="75" w:type="dxa"/>
              <w:right w:w="75" w:type="dxa"/>
            </w:tcMar>
            <w:vAlign w:val="center"/>
          </w:tcPr>
          <w:p w14:paraId="124C048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Times New Roman" w:hAnsi="Times New Roman" w:cs="Times New Roman"/>
                <w:sz w:val="28"/>
                <w:szCs w:val="28"/>
              </w:rPr>
              <w:t>0</w:t>
            </w:r>
          </w:p>
        </w:tc>
      </w:tr>
      <w:tr w14:paraId="0110189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8130" w:type="dxa"/>
            <w:gridSpan w:val="4"/>
            <w:tcBorders>
              <w:top w:val="nil"/>
              <w:left w:val="outset" w:color="auto" w:sz="6" w:space="0"/>
              <w:bottom w:val="outset" w:color="auto" w:sz="6" w:space="0"/>
              <w:right w:val="outset" w:color="auto" w:sz="6" w:space="0"/>
            </w:tcBorders>
            <w:shd w:val="clear" w:color="auto" w:fill="auto"/>
            <w:tcMar>
              <w:top w:w="75" w:type="dxa"/>
              <w:left w:w="75" w:type="dxa"/>
              <w:right w:w="75" w:type="dxa"/>
            </w:tcMar>
            <w:vAlign w:val="center"/>
          </w:tcPr>
          <w:p w14:paraId="6223F9C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hAnsi="Times New Roman" w:eastAsia="仿宋_GB2312" w:cs="仿宋_GB2312"/>
                <w:sz w:val="28"/>
                <w:szCs w:val="28"/>
              </w:rPr>
              <w:t>第二十条第（五）项</w:t>
            </w:r>
          </w:p>
        </w:tc>
      </w:tr>
      <w:tr w14:paraId="33B1D67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2955" w:type="dxa"/>
            <w:tcBorders>
              <w:top w:val="nil"/>
              <w:left w:val="outset" w:color="auto" w:sz="6" w:space="0"/>
              <w:bottom w:val="outset" w:color="auto" w:sz="6" w:space="0"/>
              <w:right w:val="outset" w:color="auto" w:sz="6" w:space="0"/>
            </w:tcBorders>
            <w:shd w:val="clear" w:color="auto" w:fill="auto"/>
            <w:tcMar>
              <w:top w:w="75" w:type="dxa"/>
              <w:left w:w="75" w:type="dxa"/>
              <w:right w:w="75" w:type="dxa"/>
            </w:tcMar>
            <w:vAlign w:val="center"/>
          </w:tcPr>
          <w:p w14:paraId="58C5B97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hAnsi="Times New Roman" w:eastAsia="仿宋_GB2312" w:cs="仿宋_GB2312"/>
                <w:sz w:val="28"/>
                <w:szCs w:val="28"/>
              </w:rPr>
              <w:t>信息内容</w:t>
            </w:r>
          </w:p>
        </w:tc>
        <w:tc>
          <w:tcPr>
            <w:tcW w:w="5175" w:type="dxa"/>
            <w:gridSpan w:val="3"/>
            <w:tcBorders>
              <w:top w:val="outset" w:color="auto" w:sz="6" w:space="0"/>
              <w:left w:val="nil"/>
              <w:bottom w:val="outset" w:color="auto" w:sz="6" w:space="0"/>
              <w:right w:val="outset" w:color="auto" w:sz="6" w:space="0"/>
            </w:tcBorders>
            <w:shd w:val="clear" w:color="auto" w:fill="auto"/>
            <w:tcMar>
              <w:top w:w="75" w:type="dxa"/>
              <w:left w:w="75" w:type="dxa"/>
              <w:right w:w="75" w:type="dxa"/>
            </w:tcMar>
            <w:vAlign w:val="center"/>
          </w:tcPr>
          <w:p w14:paraId="1F47CC3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hAnsi="Times New Roman" w:eastAsia="仿宋_GB2312" w:cs="仿宋_GB2312"/>
                <w:sz w:val="28"/>
                <w:szCs w:val="28"/>
              </w:rPr>
              <w:t>本年处理决定数量</w:t>
            </w:r>
          </w:p>
        </w:tc>
      </w:tr>
      <w:tr w14:paraId="25D1544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2955" w:type="dxa"/>
            <w:tcBorders>
              <w:top w:val="nil"/>
              <w:left w:val="outset" w:color="auto" w:sz="6" w:space="0"/>
              <w:bottom w:val="outset" w:color="auto" w:sz="6" w:space="0"/>
              <w:right w:val="outset" w:color="auto" w:sz="6" w:space="0"/>
            </w:tcBorders>
            <w:shd w:val="clear" w:color="auto" w:fill="auto"/>
            <w:tcMar>
              <w:top w:w="75" w:type="dxa"/>
              <w:left w:w="75" w:type="dxa"/>
              <w:right w:w="75" w:type="dxa"/>
            </w:tcMar>
            <w:vAlign w:val="center"/>
          </w:tcPr>
          <w:p w14:paraId="75F907F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hAnsi="Times New Roman" w:eastAsia="仿宋_GB2312" w:cs="仿宋_GB2312"/>
                <w:sz w:val="28"/>
                <w:szCs w:val="28"/>
              </w:rPr>
              <w:t>行政许可</w:t>
            </w:r>
          </w:p>
        </w:tc>
        <w:tc>
          <w:tcPr>
            <w:tcW w:w="5175" w:type="dxa"/>
            <w:gridSpan w:val="3"/>
            <w:tcBorders>
              <w:top w:val="nil"/>
              <w:left w:val="nil"/>
              <w:bottom w:val="outset" w:color="auto" w:sz="6" w:space="0"/>
              <w:right w:val="outset" w:color="auto" w:sz="6" w:space="0"/>
            </w:tcBorders>
            <w:shd w:val="clear" w:color="auto" w:fill="auto"/>
            <w:tcMar>
              <w:top w:w="75" w:type="dxa"/>
              <w:left w:w="75" w:type="dxa"/>
              <w:right w:w="75" w:type="dxa"/>
            </w:tcMar>
            <w:vAlign w:val="center"/>
          </w:tcPr>
          <w:p w14:paraId="25BC3DF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Times New Roman" w:hAnsi="Times New Roman" w:cs="Times New Roman"/>
                <w:sz w:val="28"/>
                <w:szCs w:val="28"/>
              </w:rPr>
              <w:t>0</w:t>
            </w:r>
          </w:p>
        </w:tc>
      </w:tr>
      <w:tr w14:paraId="78EE064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8130" w:type="dxa"/>
            <w:gridSpan w:val="4"/>
            <w:tcBorders>
              <w:top w:val="nil"/>
              <w:left w:val="outset" w:color="auto" w:sz="6" w:space="0"/>
              <w:bottom w:val="outset" w:color="auto" w:sz="6" w:space="0"/>
              <w:right w:val="outset" w:color="auto" w:sz="6" w:space="0"/>
            </w:tcBorders>
            <w:shd w:val="clear" w:color="auto" w:fill="auto"/>
            <w:tcMar>
              <w:top w:w="75" w:type="dxa"/>
              <w:left w:w="75" w:type="dxa"/>
              <w:right w:w="75" w:type="dxa"/>
            </w:tcMar>
            <w:vAlign w:val="center"/>
          </w:tcPr>
          <w:p w14:paraId="7981D04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hAnsi="Times New Roman" w:eastAsia="仿宋_GB2312" w:cs="仿宋_GB2312"/>
                <w:sz w:val="28"/>
                <w:szCs w:val="28"/>
              </w:rPr>
              <w:t>第二十条第（六）项</w:t>
            </w:r>
          </w:p>
        </w:tc>
      </w:tr>
      <w:tr w14:paraId="10252B0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2955" w:type="dxa"/>
            <w:tcBorders>
              <w:top w:val="nil"/>
              <w:left w:val="outset" w:color="auto" w:sz="6" w:space="0"/>
              <w:bottom w:val="outset" w:color="auto" w:sz="6" w:space="0"/>
              <w:right w:val="outset" w:color="auto" w:sz="6" w:space="0"/>
            </w:tcBorders>
            <w:shd w:val="clear" w:color="auto" w:fill="auto"/>
            <w:tcMar>
              <w:top w:w="75" w:type="dxa"/>
              <w:left w:w="75" w:type="dxa"/>
              <w:right w:w="75" w:type="dxa"/>
            </w:tcMar>
            <w:vAlign w:val="center"/>
          </w:tcPr>
          <w:p w14:paraId="413EF3F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hAnsi="Times New Roman" w:eastAsia="仿宋_GB2312" w:cs="仿宋_GB2312"/>
                <w:sz w:val="28"/>
                <w:szCs w:val="28"/>
              </w:rPr>
              <w:t>信息内容</w:t>
            </w:r>
          </w:p>
        </w:tc>
        <w:tc>
          <w:tcPr>
            <w:tcW w:w="5175" w:type="dxa"/>
            <w:gridSpan w:val="3"/>
            <w:tcBorders>
              <w:top w:val="outset" w:color="auto" w:sz="6" w:space="0"/>
              <w:left w:val="nil"/>
              <w:bottom w:val="outset" w:color="auto" w:sz="6" w:space="0"/>
              <w:right w:val="outset" w:color="auto" w:sz="6" w:space="0"/>
            </w:tcBorders>
            <w:shd w:val="clear" w:color="auto" w:fill="auto"/>
            <w:tcMar>
              <w:top w:w="75" w:type="dxa"/>
              <w:left w:w="75" w:type="dxa"/>
              <w:right w:w="75" w:type="dxa"/>
            </w:tcMar>
            <w:vAlign w:val="center"/>
          </w:tcPr>
          <w:p w14:paraId="025A92C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hAnsi="Times New Roman" w:eastAsia="仿宋_GB2312" w:cs="仿宋_GB2312"/>
                <w:sz w:val="28"/>
                <w:szCs w:val="28"/>
              </w:rPr>
              <w:t>本年处理决定数量</w:t>
            </w:r>
          </w:p>
        </w:tc>
      </w:tr>
      <w:tr w14:paraId="52F2D48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2955" w:type="dxa"/>
            <w:tcBorders>
              <w:top w:val="nil"/>
              <w:left w:val="outset" w:color="auto" w:sz="6" w:space="0"/>
              <w:bottom w:val="outset" w:color="auto" w:sz="6" w:space="0"/>
              <w:right w:val="outset" w:color="auto" w:sz="6" w:space="0"/>
            </w:tcBorders>
            <w:shd w:val="clear" w:color="auto" w:fill="auto"/>
            <w:tcMar>
              <w:top w:w="75" w:type="dxa"/>
              <w:left w:w="75" w:type="dxa"/>
              <w:right w:w="75" w:type="dxa"/>
            </w:tcMar>
            <w:vAlign w:val="center"/>
          </w:tcPr>
          <w:p w14:paraId="7B46343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hAnsi="Times New Roman" w:eastAsia="仿宋_GB2312" w:cs="仿宋_GB2312"/>
                <w:sz w:val="28"/>
                <w:szCs w:val="28"/>
              </w:rPr>
              <w:t>行政处罚</w:t>
            </w:r>
          </w:p>
        </w:tc>
        <w:tc>
          <w:tcPr>
            <w:tcW w:w="5175" w:type="dxa"/>
            <w:gridSpan w:val="3"/>
            <w:tcBorders>
              <w:top w:val="nil"/>
              <w:left w:val="nil"/>
              <w:bottom w:val="outset" w:color="auto" w:sz="6" w:space="0"/>
              <w:right w:val="outset" w:color="auto" w:sz="6" w:space="0"/>
            </w:tcBorders>
            <w:shd w:val="clear" w:color="auto" w:fill="auto"/>
            <w:tcMar>
              <w:top w:w="75" w:type="dxa"/>
              <w:left w:w="75" w:type="dxa"/>
              <w:right w:w="75" w:type="dxa"/>
            </w:tcMar>
            <w:vAlign w:val="center"/>
          </w:tcPr>
          <w:p w14:paraId="6B3F64D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Times New Roman" w:hAnsi="Times New Roman" w:cs="Times New Roman"/>
                <w:sz w:val="28"/>
                <w:szCs w:val="28"/>
              </w:rPr>
              <w:t>0</w:t>
            </w:r>
          </w:p>
        </w:tc>
      </w:tr>
      <w:tr w14:paraId="2FFE911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2955" w:type="dxa"/>
            <w:tcBorders>
              <w:top w:val="nil"/>
              <w:left w:val="outset" w:color="auto" w:sz="6" w:space="0"/>
              <w:bottom w:val="outset" w:color="auto" w:sz="6" w:space="0"/>
              <w:right w:val="outset" w:color="auto" w:sz="6" w:space="0"/>
            </w:tcBorders>
            <w:shd w:val="clear" w:color="auto" w:fill="auto"/>
            <w:tcMar>
              <w:top w:w="75" w:type="dxa"/>
              <w:left w:w="75" w:type="dxa"/>
              <w:right w:w="75" w:type="dxa"/>
            </w:tcMar>
            <w:vAlign w:val="center"/>
          </w:tcPr>
          <w:p w14:paraId="5449297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hAnsi="Times New Roman" w:eastAsia="仿宋_GB2312" w:cs="仿宋_GB2312"/>
                <w:sz w:val="28"/>
                <w:szCs w:val="28"/>
              </w:rPr>
              <w:t>行政强制</w:t>
            </w:r>
          </w:p>
        </w:tc>
        <w:tc>
          <w:tcPr>
            <w:tcW w:w="5175" w:type="dxa"/>
            <w:gridSpan w:val="3"/>
            <w:tcBorders>
              <w:top w:val="nil"/>
              <w:left w:val="nil"/>
              <w:bottom w:val="outset" w:color="auto" w:sz="6" w:space="0"/>
              <w:right w:val="outset" w:color="auto" w:sz="6" w:space="0"/>
            </w:tcBorders>
            <w:shd w:val="clear" w:color="auto" w:fill="auto"/>
            <w:tcMar>
              <w:top w:w="75" w:type="dxa"/>
              <w:left w:w="75" w:type="dxa"/>
              <w:right w:w="75" w:type="dxa"/>
            </w:tcMar>
            <w:vAlign w:val="center"/>
          </w:tcPr>
          <w:p w14:paraId="200C454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Times New Roman" w:hAnsi="Times New Roman" w:cs="Times New Roman"/>
                <w:sz w:val="28"/>
                <w:szCs w:val="28"/>
              </w:rPr>
              <w:t>0</w:t>
            </w:r>
          </w:p>
        </w:tc>
      </w:tr>
      <w:tr w14:paraId="6C08FDE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8130" w:type="dxa"/>
            <w:gridSpan w:val="4"/>
            <w:tcBorders>
              <w:top w:val="nil"/>
              <w:left w:val="outset" w:color="auto" w:sz="6" w:space="0"/>
              <w:bottom w:val="outset" w:color="auto" w:sz="6" w:space="0"/>
              <w:right w:val="outset" w:color="auto" w:sz="6" w:space="0"/>
            </w:tcBorders>
            <w:shd w:val="clear" w:color="auto" w:fill="auto"/>
            <w:tcMar>
              <w:top w:w="75" w:type="dxa"/>
              <w:left w:w="75" w:type="dxa"/>
              <w:right w:w="75" w:type="dxa"/>
            </w:tcMar>
            <w:vAlign w:val="center"/>
          </w:tcPr>
          <w:p w14:paraId="3E5EB0A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hAnsi="Times New Roman" w:eastAsia="仿宋_GB2312" w:cs="仿宋_GB2312"/>
                <w:sz w:val="28"/>
                <w:szCs w:val="28"/>
              </w:rPr>
              <w:t>第二十条第（八）项</w:t>
            </w:r>
          </w:p>
        </w:tc>
      </w:tr>
      <w:tr w14:paraId="15E4570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2955" w:type="dxa"/>
            <w:tcBorders>
              <w:top w:val="nil"/>
              <w:left w:val="outset" w:color="auto" w:sz="6" w:space="0"/>
              <w:bottom w:val="outset" w:color="auto" w:sz="6" w:space="0"/>
              <w:right w:val="outset" w:color="auto" w:sz="6" w:space="0"/>
            </w:tcBorders>
            <w:shd w:val="clear" w:color="auto" w:fill="auto"/>
            <w:tcMar>
              <w:top w:w="75" w:type="dxa"/>
              <w:left w:w="75" w:type="dxa"/>
              <w:right w:w="75" w:type="dxa"/>
            </w:tcMar>
            <w:vAlign w:val="center"/>
          </w:tcPr>
          <w:p w14:paraId="53BB212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hAnsi="Times New Roman" w:eastAsia="仿宋_GB2312" w:cs="仿宋_GB2312"/>
                <w:sz w:val="28"/>
                <w:szCs w:val="28"/>
              </w:rPr>
              <w:t>信息内容</w:t>
            </w:r>
          </w:p>
        </w:tc>
        <w:tc>
          <w:tcPr>
            <w:tcW w:w="5175" w:type="dxa"/>
            <w:gridSpan w:val="3"/>
            <w:tcBorders>
              <w:top w:val="outset" w:color="auto" w:sz="6" w:space="0"/>
              <w:left w:val="nil"/>
              <w:bottom w:val="outset" w:color="auto" w:sz="6" w:space="0"/>
              <w:right w:val="outset" w:color="auto" w:sz="6" w:space="0"/>
            </w:tcBorders>
            <w:shd w:val="clear" w:color="auto" w:fill="auto"/>
            <w:tcMar>
              <w:top w:w="75" w:type="dxa"/>
              <w:left w:w="75" w:type="dxa"/>
              <w:right w:w="75" w:type="dxa"/>
            </w:tcMar>
            <w:vAlign w:val="center"/>
          </w:tcPr>
          <w:p w14:paraId="66B47AE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hAnsi="Times New Roman" w:eastAsia="仿宋_GB2312" w:cs="仿宋_GB2312"/>
                <w:sz w:val="28"/>
                <w:szCs w:val="28"/>
              </w:rPr>
              <w:t>本年收费金额（单位：万元）</w:t>
            </w:r>
          </w:p>
        </w:tc>
      </w:tr>
      <w:tr w14:paraId="0B9D0C7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2955" w:type="dxa"/>
            <w:tcBorders>
              <w:top w:val="nil"/>
              <w:left w:val="outset" w:color="auto" w:sz="6" w:space="0"/>
              <w:bottom w:val="outset" w:color="auto" w:sz="6" w:space="0"/>
              <w:right w:val="outset" w:color="auto" w:sz="6" w:space="0"/>
            </w:tcBorders>
            <w:shd w:val="clear" w:color="auto" w:fill="auto"/>
            <w:tcMar>
              <w:top w:w="75" w:type="dxa"/>
              <w:left w:w="75" w:type="dxa"/>
              <w:right w:w="75" w:type="dxa"/>
            </w:tcMar>
            <w:vAlign w:val="center"/>
          </w:tcPr>
          <w:p w14:paraId="7D0E316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hAnsi="Times New Roman" w:eastAsia="仿宋_GB2312" w:cs="仿宋_GB2312"/>
                <w:sz w:val="28"/>
                <w:szCs w:val="28"/>
              </w:rPr>
              <w:t>行政事业性收费</w:t>
            </w:r>
          </w:p>
        </w:tc>
        <w:tc>
          <w:tcPr>
            <w:tcW w:w="5175" w:type="dxa"/>
            <w:gridSpan w:val="3"/>
            <w:tcBorders>
              <w:top w:val="nil"/>
              <w:left w:val="nil"/>
              <w:bottom w:val="outset" w:color="auto" w:sz="6" w:space="0"/>
              <w:right w:val="outset" w:color="auto" w:sz="6" w:space="0"/>
            </w:tcBorders>
            <w:shd w:val="clear" w:color="auto" w:fill="auto"/>
            <w:tcMar>
              <w:top w:w="75" w:type="dxa"/>
              <w:left w:w="75" w:type="dxa"/>
              <w:right w:w="75" w:type="dxa"/>
            </w:tcMar>
            <w:vAlign w:val="center"/>
          </w:tcPr>
          <w:p w14:paraId="0100163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Times New Roman" w:hAnsi="Times New Roman" w:cs="Times New Roman"/>
                <w:sz w:val="28"/>
                <w:szCs w:val="28"/>
              </w:rPr>
              <w:t>0</w:t>
            </w:r>
          </w:p>
        </w:tc>
      </w:tr>
    </w:tbl>
    <w:p w14:paraId="4FB6F324">
      <w:pPr>
        <w:pStyle w:val="2"/>
        <w:keepNext w:val="0"/>
        <w:keepLines w:val="0"/>
        <w:widowControl/>
        <w:suppressLineNumbers w:val="0"/>
        <w:spacing w:line="555" w:lineRule="atLeast"/>
        <w:ind w:left="0" w:firstLine="645"/>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rPr>
        <w:t>四、政府信息公开行政复议、行政诉讼情况</w:t>
      </w:r>
    </w:p>
    <w:tbl>
      <w:tblPr>
        <w:tblStyle w:val="3"/>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150" w:type="dxa"/>
          <w:bottom w:w="75" w:type="dxa"/>
          <w:right w:w="150" w:type="dxa"/>
        </w:tblCellMar>
      </w:tblPr>
      <w:tblGrid>
        <w:gridCol w:w="518"/>
        <w:gridCol w:w="566"/>
        <w:gridCol w:w="591"/>
        <w:gridCol w:w="566"/>
        <w:gridCol w:w="490"/>
        <w:gridCol w:w="542"/>
        <w:gridCol w:w="578"/>
        <w:gridCol w:w="578"/>
        <w:gridCol w:w="578"/>
        <w:gridCol w:w="591"/>
        <w:gridCol w:w="578"/>
        <w:gridCol w:w="578"/>
        <w:gridCol w:w="579"/>
        <w:gridCol w:w="579"/>
        <w:gridCol w:w="604"/>
      </w:tblGrid>
      <w:tr w14:paraId="778EC8D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495" w:hRule="atLeast"/>
          <w:jc w:val="center"/>
        </w:trPr>
        <w:tc>
          <w:tcPr>
            <w:tcW w:w="2730" w:type="dxa"/>
            <w:gridSpan w:val="5"/>
            <w:tcBorders>
              <w:top w:val="single" w:color="auto" w:sz="6" w:space="0"/>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14:paraId="105F9EB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hAnsi="Times New Roman" w:eastAsia="仿宋_GB2312" w:cs="仿宋_GB2312"/>
                <w:sz w:val="28"/>
                <w:szCs w:val="28"/>
              </w:rPr>
              <w:t>行政复议</w:t>
            </w:r>
          </w:p>
        </w:tc>
        <w:tc>
          <w:tcPr>
            <w:tcW w:w="6000" w:type="dxa"/>
            <w:gridSpan w:val="10"/>
            <w:tcBorders>
              <w:top w:val="single" w:color="auto" w:sz="6" w:space="0"/>
              <w:left w:val="nil"/>
              <w:bottom w:val="single" w:color="auto" w:sz="6" w:space="0"/>
              <w:right w:val="single" w:color="auto" w:sz="6" w:space="0"/>
            </w:tcBorders>
            <w:shd w:val="clear" w:color="auto" w:fill="auto"/>
            <w:tcMar>
              <w:left w:w="105" w:type="dxa"/>
              <w:bottom w:w="0" w:type="dxa"/>
              <w:right w:w="105" w:type="dxa"/>
            </w:tcMar>
            <w:vAlign w:val="center"/>
          </w:tcPr>
          <w:p w14:paraId="4EA014E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hAnsi="Times New Roman" w:eastAsia="仿宋_GB2312" w:cs="仿宋_GB2312"/>
                <w:sz w:val="28"/>
                <w:szCs w:val="28"/>
              </w:rPr>
              <w:t>行政诉讼</w:t>
            </w:r>
          </w:p>
        </w:tc>
      </w:tr>
      <w:tr w14:paraId="541719C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540" w:hRule="atLeast"/>
          <w:jc w:val="center"/>
        </w:trPr>
        <w:tc>
          <w:tcPr>
            <w:tcW w:w="525" w:type="dxa"/>
            <w:vMerge w:val="restart"/>
            <w:tcBorders>
              <w:top w:val="nil"/>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14:paraId="424C557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hAnsi="Times New Roman" w:eastAsia="仿宋_GB2312" w:cs="仿宋_GB2312"/>
                <w:sz w:val="28"/>
                <w:szCs w:val="28"/>
              </w:rPr>
              <w:t>结果</w:t>
            </w:r>
          </w:p>
          <w:p w14:paraId="3FE83A6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hAnsi="Times New Roman" w:eastAsia="仿宋_GB2312" w:cs="仿宋_GB2312"/>
                <w:sz w:val="28"/>
                <w:szCs w:val="28"/>
              </w:rPr>
              <w:t>维持</w:t>
            </w:r>
          </w:p>
        </w:tc>
        <w:tc>
          <w:tcPr>
            <w:tcW w:w="585" w:type="dxa"/>
            <w:vMerge w:val="restart"/>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51E0BE0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hAnsi="Times New Roman" w:eastAsia="仿宋_GB2312" w:cs="仿宋_GB2312"/>
                <w:sz w:val="28"/>
                <w:szCs w:val="28"/>
              </w:rPr>
              <w:t>结果纠正</w:t>
            </w:r>
          </w:p>
        </w:tc>
        <w:tc>
          <w:tcPr>
            <w:tcW w:w="615" w:type="dxa"/>
            <w:vMerge w:val="restart"/>
            <w:tcBorders>
              <w:top w:val="single" w:color="auto" w:sz="6" w:space="0"/>
              <w:left w:val="nil"/>
              <w:bottom w:val="single" w:color="auto" w:sz="6" w:space="0"/>
              <w:right w:val="single" w:color="auto" w:sz="6" w:space="0"/>
            </w:tcBorders>
            <w:shd w:val="clear" w:color="auto" w:fill="auto"/>
            <w:tcMar>
              <w:left w:w="105" w:type="dxa"/>
              <w:bottom w:w="0" w:type="dxa"/>
              <w:right w:w="105" w:type="dxa"/>
            </w:tcMar>
            <w:vAlign w:val="center"/>
          </w:tcPr>
          <w:p w14:paraId="4EE3A7A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hAnsi="Times New Roman" w:eastAsia="仿宋_GB2312" w:cs="仿宋_GB2312"/>
                <w:sz w:val="28"/>
                <w:szCs w:val="28"/>
              </w:rPr>
              <w:t>其他结果</w:t>
            </w:r>
          </w:p>
        </w:tc>
        <w:tc>
          <w:tcPr>
            <w:tcW w:w="585" w:type="dxa"/>
            <w:vMerge w:val="restart"/>
            <w:tcBorders>
              <w:top w:val="single" w:color="auto" w:sz="6" w:space="0"/>
              <w:left w:val="nil"/>
              <w:bottom w:val="single" w:color="auto" w:sz="6" w:space="0"/>
              <w:right w:val="single" w:color="auto" w:sz="6" w:space="0"/>
            </w:tcBorders>
            <w:shd w:val="clear" w:color="auto" w:fill="auto"/>
            <w:tcMar>
              <w:left w:w="105" w:type="dxa"/>
              <w:bottom w:w="0" w:type="dxa"/>
              <w:right w:w="105" w:type="dxa"/>
            </w:tcMar>
            <w:vAlign w:val="center"/>
          </w:tcPr>
          <w:p w14:paraId="79B930E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hAnsi="Times New Roman" w:eastAsia="仿宋_GB2312" w:cs="仿宋_GB2312"/>
                <w:sz w:val="28"/>
                <w:szCs w:val="28"/>
              </w:rPr>
              <w:t>尚未</w:t>
            </w:r>
          </w:p>
          <w:p w14:paraId="31B6E72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hAnsi="Times New Roman" w:eastAsia="仿宋_GB2312" w:cs="仿宋_GB2312"/>
                <w:sz w:val="28"/>
                <w:szCs w:val="28"/>
              </w:rPr>
              <w:t>审结</w:t>
            </w:r>
          </w:p>
        </w:tc>
        <w:tc>
          <w:tcPr>
            <w:tcW w:w="420" w:type="dxa"/>
            <w:vMerge w:val="restart"/>
            <w:tcBorders>
              <w:top w:val="single" w:color="auto" w:sz="6" w:space="0"/>
              <w:left w:val="nil"/>
              <w:bottom w:val="single" w:color="auto" w:sz="6" w:space="0"/>
              <w:right w:val="single" w:color="auto" w:sz="6" w:space="0"/>
            </w:tcBorders>
            <w:shd w:val="clear" w:color="auto" w:fill="auto"/>
            <w:tcMar>
              <w:left w:w="105" w:type="dxa"/>
              <w:bottom w:w="0" w:type="dxa"/>
              <w:right w:w="105" w:type="dxa"/>
            </w:tcMar>
            <w:vAlign w:val="center"/>
          </w:tcPr>
          <w:p w14:paraId="6A056DE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hAnsi="Times New Roman" w:eastAsia="仿宋_GB2312" w:cs="仿宋_GB2312"/>
                <w:sz w:val="28"/>
                <w:szCs w:val="28"/>
              </w:rPr>
              <w:t>总</w:t>
            </w:r>
          </w:p>
          <w:p w14:paraId="6A2DC42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hAnsi="Times New Roman" w:eastAsia="仿宋_GB2312" w:cs="仿宋_GB2312"/>
                <w:sz w:val="28"/>
                <w:szCs w:val="28"/>
              </w:rPr>
              <w:t>计</w:t>
            </w:r>
          </w:p>
        </w:tc>
        <w:tc>
          <w:tcPr>
            <w:tcW w:w="2970" w:type="dxa"/>
            <w:gridSpan w:val="5"/>
            <w:tcBorders>
              <w:top w:val="single" w:color="auto" w:sz="6" w:space="0"/>
              <w:left w:val="nil"/>
              <w:bottom w:val="single" w:color="auto" w:sz="6" w:space="0"/>
              <w:right w:val="single" w:color="auto" w:sz="6" w:space="0"/>
            </w:tcBorders>
            <w:shd w:val="clear" w:color="auto" w:fill="auto"/>
            <w:tcMar>
              <w:left w:w="105" w:type="dxa"/>
              <w:bottom w:w="0" w:type="dxa"/>
              <w:right w:w="105" w:type="dxa"/>
            </w:tcMar>
            <w:vAlign w:val="center"/>
          </w:tcPr>
          <w:p w14:paraId="3CC6853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hAnsi="Times New Roman" w:eastAsia="仿宋_GB2312" w:cs="仿宋_GB2312"/>
                <w:sz w:val="28"/>
                <w:szCs w:val="28"/>
              </w:rPr>
              <w:t>未经复议直接起诉</w:t>
            </w:r>
          </w:p>
        </w:tc>
        <w:tc>
          <w:tcPr>
            <w:tcW w:w="3030" w:type="dxa"/>
            <w:gridSpan w:val="5"/>
            <w:tcBorders>
              <w:top w:val="single" w:color="auto" w:sz="6" w:space="0"/>
              <w:left w:val="nil"/>
              <w:bottom w:val="single" w:color="auto" w:sz="6" w:space="0"/>
              <w:right w:val="single" w:color="auto" w:sz="6" w:space="0"/>
            </w:tcBorders>
            <w:shd w:val="clear" w:color="auto" w:fill="auto"/>
            <w:tcMar>
              <w:left w:w="105" w:type="dxa"/>
              <w:bottom w:w="0" w:type="dxa"/>
              <w:right w:w="105" w:type="dxa"/>
            </w:tcMar>
            <w:vAlign w:val="center"/>
          </w:tcPr>
          <w:p w14:paraId="006E5D7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hAnsi="Times New Roman" w:eastAsia="仿宋_GB2312" w:cs="仿宋_GB2312"/>
                <w:sz w:val="28"/>
                <w:szCs w:val="28"/>
              </w:rPr>
              <w:t>复议后起诉</w:t>
            </w:r>
          </w:p>
        </w:tc>
      </w:tr>
      <w:tr w14:paraId="292FFE4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900" w:hRule="atLeast"/>
          <w:jc w:val="center"/>
        </w:trPr>
        <w:tc>
          <w:tcPr>
            <w:tcW w:w="525" w:type="dxa"/>
            <w:vMerge w:val="continue"/>
            <w:tcBorders>
              <w:top w:val="nil"/>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14:paraId="2F3D3AEA">
            <w:pPr>
              <w:rPr>
                <w:rFonts w:hint="eastAsia" w:ascii="宋体"/>
                <w:sz w:val="24"/>
                <w:szCs w:val="24"/>
              </w:rPr>
            </w:pPr>
          </w:p>
        </w:tc>
        <w:tc>
          <w:tcPr>
            <w:tcW w:w="585" w:type="dxa"/>
            <w:vMerge w:val="continue"/>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39C7F29F">
            <w:pPr>
              <w:rPr>
                <w:rFonts w:hint="eastAsia" w:ascii="宋体"/>
                <w:sz w:val="24"/>
                <w:szCs w:val="24"/>
              </w:rPr>
            </w:pPr>
          </w:p>
        </w:tc>
        <w:tc>
          <w:tcPr>
            <w:tcW w:w="615" w:type="dxa"/>
            <w:vMerge w:val="continue"/>
            <w:tcBorders>
              <w:top w:val="single" w:color="auto" w:sz="6" w:space="0"/>
              <w:left w:val="nil"/>
              <w:bottom w:val="single" w:color="auto" w:sz="6" w:space="0"/>
              <w:right w:val="single" w:color="auto" w:sz="6" w:space="0"/>
            </w:tcBorders>
            <w:shd w:val="clear" w:color="auto" w:fill="auto"/>
            <w:tcMar>
              <w:left w:w="105" w:type="dxa"/>
              <w:bottom w:w="0" w:type="dxa"/>
              <w:right w:w="105" w:type="dxa"/>
            </w:tcMar>
            <w:vAlign w:val="center"/>
          </w:tcPr>
          <w:p w14:paraId="497AA657">
            <w:pPr>
              <w:rPr>
                <w:rFonts w:hint="eastAsia" w:ascii="宋体"/>
                <w:sz w:val="24"/>
                <w:szCs w:val="24"/>
              </w:rPr>
            </w:pPr>
          </w:p>
        </w:tc>
        <w:tc>
          <w:tcPr>
            <w:tcW w:w="585" w:type="dxa"/>
            <w:vMerge w:val="continue"/>
            <w:tcBorders>
              <w:top w:val="single" w:color="auto" w:sz="6" w:space="0"/>
              <w:left w:val="nil"/>
              <w:bottom w:val="single" w:color="auto" w:sz="6" w:space="0"/>
              <w:right w:val="single" w:color="auto" w:sz="6" w:space="0"/>
            </w:tcBorders>
            <w:shd w:val="clear" w:color="auto" w:fill="auto"/>
            <w:tcMar>
              <w:left w:w="105" w:type="dxa"/>
              <w:bottom w:w="0" w:type="dxa"/>
              <w:right w:w="105" w:type="dxa"/>
            </w:tcMar>
            <w:vAlign w:val="center"/>
          </w:tcPr>
          <w:p w14:paraId="0226C7B2">
            <w:pPr>
              <w:rPr>
                <w:rFonts w:hint="eastAsia" w:ascii="宋体"/>
                <w:sz w:val="24"/>
                <w:szCs w:val="24"/>
              </w:rPr>
            </w:pPr>
          </w:p>
        </w:tc>
        <w:tc>
          <w:tcPr>
            <w:tcW w:w="420" w:type="dxa"/>
            <w:vMerge w:val="continue"/>
            <w:tcBorders>
              <w:top w:val="single" w:color="auto" w:sz="6" w:space="0"/>
              <w:left w:val="nil"/>
              <w:bottom w:val="single" w:color="auto" w:sz="6" w:space="0"/>
              <w:right w:val="single" w:color="auto" w:sz="6" w:space="0"/>
            </w:tcBorders>
            <w:shd w:val="clear" w:color="auto" w:fill="auto"/>
            <w:tcMar>
              <w:left w:w="105" w:type="dxa"/>
              <w:bottom w:w="0" w:type="dxa"/>
              <w:right w:w="105" w:type="dxa"/>
            </w:tcMar>
            <w:vAlign w:val="center"/>
          </w:tcPr>
          <w:p w14:paraId="0E49E8D5">
            <w:pPr>
              <w:rPr>
                <w:rFonts w:hint="eastAsia" w:ascii="宋体"/>
                <w:sz w:val="24"/>
                <w:szCs w:val="24"/>
              </w:rPr>
            </w:pPr>
          </w:p>
        </w:tc>
        <w:tc>
          <w:tcPr>
            <w:tcW w:w="55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172C26C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hAnsi="Times New Roman" w:eastAsia="仿宋_GB2312" w:cs="仿宋_GB2312"/>
                <w:sz w:val="28"/>
                <w:szCs w:val="28"/>
              </w:rPr>
              <w:t>结果维持</w:t>
            </w:r>
          </w:p>
        </w:tc>
        <w:tc>
          <w:tcPr>
            <w:tcW w:w="600"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7A6C485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hAnsi="Times New Roman" w:eastAsia="仿宋_GB2312" w:cs="仿宋_GB2312"/>
                <w:sz w:val="28"/>
                <w:szCs w:val="28"/>
              </w:rPr>
              <w:t>结果纠正</w:t>
            </w:r>
          </w:p>
        </w:tc>
        <w:tc>
          <w:tcPr>
            <w:tcW w:w="600" w:type="dxa"/>
            <w:tcBorders>
              <w:top w:val="single" w:color="auto" w:sz="6" w:space="0"/>
              <w:left w:val="nil"/>
              <w:bottom w:val="single" w:color="auto" w:sz="6" w:space="0"/>
              <w:right w:val="single" w:color="auto" w:sz="6" w:space="0"/>
            </w:tcBorders>
            <w:shd w:val="clear" w:color="auto" w:fill="auto"/>
            <w:tcMar>
              <w:left w:w="105" w:type="dxa"/>
              <w:bottom w:w="0" w:type="dxa"/>
              <w:right w:w="105" w:type="dxa"/>
            </w:tcMar>
            <w:vAlign w:val="center"/>
          </w:tcPr>
          <w:p w14:paraId="122E82F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hAnsi="Times New Roman" w:eastAsia="仿宋_GB2312" w:cs="仿宋_GB2312"/>
                <w:sz w:val="28"/>
                <w:szCs w:val="28"/>
              </w:rPr>
              <w:t>其他</w:t>
            </w:r>
          </w:p>
          <w:p w14:paraId="71FE066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hAnsi="Times New Roman" w:eastAsia="仿宋_GB2312" w:cs="仿宋_GB2312"/>
                <w:sz w:val="28"/>
                <w:szCs w:val="28"/>
              </w:rPr>
              <w:t>结果</w:t>
            </w:r>
          </w:p>
        </w:tc>
        <w:tc>
          <w:tcPr>
            <w:tcW w:w="600" w:type="dxa"/>
            <w:tcBorders>
              <w:top w:val="single" w:color="auto" w:sz="6" w:space="0"/>
              <w:left w:val="nil"/>
              <w:bottom w:val="single" w:color="auto" w:sz="6" w:space="0"/>
              <w:right w:val="single" w:color="auto" w:sz="6" w:space="0"/>
            </w:tcBorders>
            <w:shd w:val="clear" w:color="auto" w:fill="auto"/>
            <w:tcMar>
              <w:left w:w="105" w:type="dxa"/>
              <w:bottom w:w="0" w:type="dxa"/>
              <w:right w:w="105" w:type="dxa"/>
            </w:tcMar>
            <w:vAlign w:val="center"/>
          </w:tcPr>
          <w:p w14:paraId="4D823A1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hAnsi="Times New Roman" w:eastAsia="仿宋_GB2312" w:cs="仿宋_GB2312"/>
                <w:sz w:val="28"/>
                <w:szCs w:val="28"/>
              </w:rPr>
              <w:t>尚未</w:t>
            </w:r>
          </w:p>
          <w:p w14:paraId="51F8C1D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hAnsi="Times New Roman" w:eastAsia="仿宋_GB2312" w:cs="仿宋_GB2312"/>
                <w:sz w:val="28"/>
                <w:szCs w:val="28"/>
              </w:rPr>
              <w:t>审结</w:t>
            </w:r>
          </w:p>
        </w:tc>
        <w:tc>
          <w:tcPr>
            <w:tcW w:w="600" w:type="dxa"/>
            <w:tcBorders>
              <w:top w:val="single" w:color="auto" w:sz="6" w:space="0"/>
              <w:left w:val="nil"/>
              <w:bottom w:val="single" w:color="auto" w:sz="6" w:space="0"/>
              <w:right w:val="single" w:color="auto" w:sz="6" w:space="0"/>
            </w:tcBorders>
            <w:shd w:val="clear" w:color="auto" w:fill="auto"/>
            <w:tcMar>
              <w:left w:w="105" w:type="dxa"/>
              <w:bottom w:w="0" w:type="dxa"/>
              <w:right w:w="105" w:type="dxa"/>
            </w:tcMar>
            <w:vAlign w:val="center"/>
          </w:tcPr>
          <w:p w14:paraId="3B00CEA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hAnsi="Times New Roman" w:eastAsia="仿宋_GB2312" w:cs="仿宋_GB2312"/>
                <w:sz w:val="28"/>
                <w:szCs w:val="28"/>
              </w:rPr>
              <w:t>总计</w:t>
            </w:r>
          </w:p>
        </w:tc>
        <w:tc>
          <w:tcPr>
            <w:tcW w:w="600" w:type="dxa"/>
            <w:tcBorders>
              <w:top w:val="single" w:color="auto" w:sz="6" w:space="0"/>
              <w:left w:val="nil"/>
              <w:bottom w:val="single" w:color="auto" w:sz="6" w:space="0"/>
              <w:right w:val="single" w:color="auto" w:sz="6" w:space="0"/>
            </w:tcBorders>
            <w:shd w:val="clear" w:color="auto" w:fill="auto"/>
            <w:tcMar>
              <w:left w:w="105" w:type="dxa"/>
              <w:bottom w:w="0" w:type="dxa"/>
              <w:right w:w="105" w:type="dxa"/>
            </w:tcMar>
            <w:vAlign w:val="center"/>
          </w:tcPr>
          <w:p w14:paraId="2393FDB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hAnsi="Times New Roman" w:eastAsia="仿宋_GB2312" w:cs="仿宋_GB2312"/>
                <w:sz w:val="28"/>
                <w:szCs w:val="28"/>
              </w:rPr>
              <w:t>结果维持</w:t>
            </w:r>
          </w:p>
        </w:tc>
        <w:tc>
          <w:tcPr>
            <w:tcW w:w="600" w:type="dxa"/>
            <w:tcBorders>
              <w:top w:val="single" w:color="auto" w:sz="6" w:space="0"/>
              <w:left w:val="nil"/>
              <w:bottom w:val="single" w:color="auto" w:sz="6" w:space="0"/>
              <w:right w:val="single" w:color="auto" w:sz="6" w:space="0"/>
            </w:tcBorders>
            <w:shd w:val="clear" w:color="auto" w:fill="auto"/>
            <w:tcMar>
              <w:left w:w="105" w:type="dxa"/>
              <w:bottom w:w="0" w:type="dxa"/>
              <w:right w:w="105" w:type="dxa"/>
            </w:tcMar>
            <w:vAlign w:val="center"/>
          </w:tcPr>
          <w:p w14:paraId="572596C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hAnsi="Times New Roman" w:eastAsia="仿宋_GB2312" w:cs="仿宋_GB2312"/>
                <w:sz w:val="28"/>
                <w:szCs w:val="28"/>
              </w:rPr>
              <w:t>结果</w:t>
            </w:r>
          </w:p>
          <w:p w14:paraId="6F42442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hAnsi="Times New Roman" w:eastAsia="仿宋_GB2312" w:cs="仿宋_GB2312"/>
                <w:sz w:val="28"/>
                <w:szCs w:val="28"/>
              </w:rPr>
              <w:t>纠正</w:t>
            </w:r>
          </w:p>
        </w:tc>
        <w:tc>
          <w:tcPr>
            <w:tcW w:w="600" w:type="dxa"/>
            <w:tcBorders>
              <w:top w:val="single" w:color="auto" w:sz="6" w:space="0"/>
              <w:left w:val="nil"/>
              <w:bottom w:val="single" w:color="auto" w:sz="6" w:space="0"/>
              <w:right w:val="single" w:color="auto" w:sz="6" w:space="0"/>
            </w:tcBorders>
            <w:shd w:val="clear" w:color="auto" w:fill="auto"/>
            <w:tcMar>
              <w:left w:w="105" w:type="dxa"/>
              <w:bottom w:w="0" w:type="dxa"/>
              <w:right w:w="105" w:type="dxa"/>
            </w:tcMar>
            <w:vAlign w:val="center"/>
          </w:tcPr>
          <w:p w14:paraId="52C331D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hAnsi="Times New Roman" w:eastAsia="仿宋_GB2312" w:cs="仿宋_GB2312"/>
                <w:sz w:val="28"/>
                <w:szCs w:val="28"/>
              </w:rPr>
              <w:t>其他</w:t>
            </w:r>
          </w:p>
          <w:p w14:paraId="6A3865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hAnsi="Times New Roman" w:eastAsia="仿宋_GB2312" w:cs="仿宋_GB2312"/>
                <w:sz w:val="28"/>
                <w:szCs w:val="28"/>
              </w:rPr>
              <w:t>结果</w:t>
            </w:r>
          </w:p>
        </w:tc>
        <w:tc>
          <w:tcPr>
            <w:tcW w:w="600" w:type="dxa"/>
            <w:tcBorders>
              <w:top w:val="single" w:color="auto" w:sz="6" w:space="0"/>
              <w:left w:val="nil"/>
              <w:bottom w:val="single" w:color="auto" w:sz="6" w:space="0"/>
              <w:right w:val="single" w:color="auto" w:sz="6" w:space="0"/>
            </w:tcBorders>
            <w:shd w:val="clear" w:color="auto" w:fill="auto"/>
            <w:tcMar>
              <w:left w:w="105" w:type="dxa"/>
              <w:bottom w:w="0" w:type="dxa"/>
              <w:right w:w="105" w:type="dxa"/>
            </w:tcMar>
            <w:vAlign w:val="center"/>
          </w:tcPr>
          <w:p w14:paraId="76E8B17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hAnsi="Times New Roman" w:eastAsia="仿宋_GB2312" w:cs="仿宋_GB2312"/>
                <w:sz w:val="28"/>
                <w:szCs w:val="28"/>
              </w:rPr>
              <w:t>尚未审结</w:t>
            </w:r>
          </w:p>
        </w:tc>
        <w:tc>
          <w:tcPr>
            <w:tcW w:w="600" w:type="dxa"/>
            <w:tcBorders>
              <w:top w:val="single" w:color="auto" w:sz="6" w:space="0"/>
              <w:left w:val="nil"/>
              <w:bottom w:val="single" w:color="auto" w:sz="6" w:space="0"/>
              <w:right w:val="single" w:color="auto" w:sz="6" w:space="0"/>
            </w:tcBorders>
            <w:shd w:val="clear" w:color="auto" w:fill="auto"/>
            <w:tcMar>
              <w:left w:w="105" w:type="dxa"/>
              <w:bottom w:w="0" w:type="dxa"/>
              <w:right w:w="105" w:type="dxa"/>
            </w:tcMar>
            <w:vAlign w:val="center"/>
          </w:tcPr>
          <w:p w14:paraId="6227532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仿宋_GB2312" w:hAnsi="Times New Roman" w:eastAsia="仿宋_GB2312" w:cs="仿宋_GB2312"/>
                <w:sz w:val="28"/>
                <w:szCs w:val="28"/>
              </w:rPr>
              <w:t>总计</w:t>
            </w:r>
          </w:p>
        </w:tc>
      </w:tr>
      <w:tr w14:paraId="073F011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525" w:type="dxa"/>
            <w:tcBorders>
              <w:top w:val="nil"/>
              <w:left w:val="single" w:color="auto" w:sz="6" w:space="0"/>
              <w:bottom w:val="single" w:color="auto" w:sz="6" w:space="0"/>
              <w:right w:val="single" w:color="auto" w:sz="6" w:space="0"/>
            </w:tcBorders>
            <w:shd w:val="clear" w:color="auto" w:fill="auto"/>
            <w:tcMar>
              <w:left w:w="105" w:type="dxa"/>
              <w:bottom w:w="0" w:type="dxa"/>
              <w:right w:w="105" w:type="dxa"/>
            </w:tcMar>
            <w:vAlign w:val="center"/>
          </w:tcPr>
          <w:p w14:paraId="443EAD4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Times New Roman" w:hAnsi="Times New Roman" w:cs="Times New Roman"/>
                <w:sz w:val="28"/>
                <w:szCs w:val="28"/>
              </w:rPr>
              <w:t>0</w:t>
            </w:r>
          </w:p>
        </w:tc>
        <w:tc>
          <w:tcPr>
            <w:tcW w:w="58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7BC6915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Times New Roman" w:hAnsi="Times New Roman" w:cs="Times New Roman"/>
                <w:sz w:val="28"/>
                <w:szCs w:val="28"/>
              </w:rPr>
              <w:t>0</w:t>
            </w:r>
          </w:p>
        </w:tc>
        <w:tc>
          <w:tcPr>
            <w:tcW w:w="61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5B3B1E7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Times New Roman" w:hAnsi="Times New Roman" w:cs="Times New Roman"/>
                <w:sz w:val="28"/>
                <w:szCs w:val="28"/>
              </w:rPr>
              <w:t>0</w:t>
            </w:r>
          </w:p>
        </w:tc>
        <w:tc>
          <w:tcPr>
            <w:tcW w:w="58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201C3AE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Times New Roman" w:hAnsi="Times New Roman" w:cs="Times New Roman"/>
                <w:sz w:val="28"/>
                <w:szCs w:val="28"/>
              </w:rPr>
              <w:t>0</w:t>
            </w:r>
          </w:p>
        </w:tc>
        <w:tc>
          <w:tcPr>
            <w:tcW w:w="420"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047BD54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Times New Roman" w:hAnsi="Times New Roman" w:cs="Times New Roman"/>
                <w:sz w:val="28"/>
                <w:szCs w:val="28"/>
              </w:rPr>
              <w:t>0</w:t>
            </w:r>
          </w:p>
        </w:tc>
        <w:tc>
          <w:tcPr>
            <w:tcW w:w="555"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733D210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Times New Roman" w:hAnsi="Times New Roman" w:cs="Times New Roman"/>
                <w:sz w:val="28"/>
                <w:szCs w:val="28"/>
              </w:rPr>
              <w:t>0</w:t>
            </w:r>
          </w:p>
        </w:tc>
        <w:tc>
          <w:tcPr>
            <w:tcW w:w="600"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487168D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Times New Roman" w:hAnsi="Times New Roman" w:cs="Times New Roman"/>
                <w:sz w:val="28"/>
                <w:szCs w:val="28"/>
              </w:rPr>
              <w:t>0</w:t>
            </w:r>
          </w:p>
        </w:tc>
        <w:tc>
          <w:tcPr>
            <w:tcW w:w="600"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1ECEC89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Times New Roman" w:hAnsi="Times New Roman" w:cs="Times New Roman"/>
                <w:sz w:val="28"/>
                <w:szCs w:val="28"/>
              </w:rPr>
              <w:t>0</w:t>
            </w:r>
          </w:p>
        </w:tc>
        <w:tc>
          <w:tcPr>
            <w:tcW w:w="600"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6A74A10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Times New Roman" w:hAnsi="Times New Roman" w:cs="Times New Roman"/>
                <w:sz w:val="28"/>
                <w:szCs w:val="28"/>
              </w:rPr>
              <w:t>0</w:t>
            </w:r>
          </w:p>
        </w:tc>
        <w:tc>
          <w:tcPr>
            <w:tcW w:w="600"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4DBDBB9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Times New Roman" w:hAnsi="Times New Roman" w:cs="Times New Roman"/>
                <w:sz w:val="28"/>
                <w:szCs w:val="28"/>
              </w:rPr>
              <w:t>0</w:t>
            </w:r>
          </w:p>
        </w:tc>
        <w:tc>
          <w:tcPr>
            <w:tcW w:w="600"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1EB90B6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Times New Roman" w:hAnsi="Times New Roman" w:cs="Times New Roman"/>
                <w:sz w:val="28"/>
                <w:szCs w:val="28"/>
              </w:rPr>
              <w:t>0</w:t>
            </w:r>
          </w:p>
        </w:tc>
        <w:tc>
          <w:tcPr>
            <w:tcW w:w="600"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65B7E39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Times New Roman" w:hAnsi="Times New Roman" w:cs="Times New Roman"/>
                <w:sz w:val="28"/>
                <w:szCs w:val="28"/>
              </w:rPr>
              <w:t>0</w:t>
            </w:r>
          </w:p>
        </w:tc>
        <w:tc>
          <w:tcPr>
            <w:tcW w:w="600"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096D9CE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Times New Roman" w:hAnsi="Times New Roman" w:cs="Times New Roman"/>
                <w:sz w:val="28"/>
                <w:szCs w:val="28"/>
              </w:rPr>
              <w:t>0</w:t>
            </w:r>
          </w:p>
        </w:tc>
        <w:tc>
          <w:tcPr>
            <w:tcW w:w="600"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72D9FA3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Times New Roman" w:hAnsi="Times New Roman" w:cs="Times New Roman"/>
                <w:sz w:val="28"/>
                <w:szCs w:val="28"/>
              </w:rPr>
              <w:t>0</w:t>
            </w:r>
          </w:p>
        </w:tc>
        <w:tc>
          <w:tcPr>
            <w:tcW w:w="600" w:type="dxa"/>
            <w:tcBorders>
              <w:top w:val="nil"/>
              <w:left w:val="nil"/>
              <w:bottom w:val="single" w:color="auto" w:sz="6" w:space="0"/>
              <w:right w:val="single" w:color="auto" w:sz="6" w:space="0"/>
            </w:tcBorders>
            <w:shd w:val="clear" w:color="auto" w:fill="auto"/>
            <w:tcMar>
              <w:left w:w="105" w:type="dxa"/>
              <w:bottom w:w="0" w:type="dxa"/>
              <w:right w:w="105" w:type="dxa"/>
            </w:tcMar>
            <w:vAlign w:val="center"/>
          </w:tcPr>
          <w:p w14:paraId="70421AB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Times New Roman" w:hAnsi="Times New Roman" w:cs="Times New Roman"/>
                <w:sz w:val="28"/>
                <w:szCs w:val="28"/>
              </w:rPr>
              <w:t>0</w:t>
            </w:r>
          </w:p>
        </w:tc>
      </w:tr>
    </w:tbl>
    <w:p w14:paraId="45DEE40F">
      <w:pPr>
        <w:pStyle w:val="2"/>
        <w:keepNext w:val="0"/>
        <w:keepLines w:val="0"/>
        <w:widowControl/>
        <w:suppressLineNumbers w:val="0"/>
        <w:spacing w:before="0" w:beforeAutospacing="0" w:line="555" w:lineRule="atLeast"/>
        <w:ind w:left="0" w:firstLine="615"/>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rPr>
        <w:t>五、政府信息公开工作存在的主要问题及改进情况</w:t>
      </w:r>
    </w:p>
    <w:p w14:paraId="26F9C769">
      <w:pPr>
        <w:pStyle w:val="2"/>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555" w:lineRule="atLeast"/>
        <w:ind w:left="0" w:right="0" w:firstLine="645"/>
        <w:rPr>
          <w:rFonts w:hint="eastAsia" w:ascii="sans-serif" w:hAnsi="sans-serif" w:eastAsia="仿宋_GB2312" w:cs="sans-serif"/>
          <w:i w:val="0"/>
          <w:iCs w:val="0"/>
          <w:caps w:val="0"/>
          <w:color w:val="000000"/>
          <w:spacing w:val="0"/>
          <w:sz w:val="32"/>
          <w:szCs w:val="32"/>
          <w:lang w:eastAsia="zh-CN"/>
        </w:rPr>
      </w:pPr>
      <w:r>
        <w:rPr>
          <w:rFonts w:hint="default" w:ascii="Times New Roman" w:hAnsi="Times New Roman" w:eastAsia="sans-serif" w:cs="Times New Roman"/>
          <w:i w:val="0"/>
          <w:iCs w:val="0"/>
          <w:caps w:val="0"/>
          <w:color w:val="1F2329"/>
          <w:spacing w:val="0"/>
          <w:sz w:val="32"/>
          <w:szCs w:val="32"/>
          <w:shd w:val="clear" w:fill="FFFFFF"/>
        </w:rPr>
        <w:t>1.</w:t>
      </w:r>
      <w:r>
        <w:rPr>
          <w:rFonts w:hint="default" w:ascii="楷体_GB2312" w:hAnsi="Times New Roman" w:eastAsia="楷体_GB2312" w:cs="楷体_GB2312"/>
          <w:i w:val="0"/>
          <w:iCs w:val="0"/>
          <w:caps w:val="0"/>
          <w:color w:val="1F2329"/>
          <w:spacing w:val="0"/>
          <w:sz w:val="32"/>
          <w:szCs w:val="32"/>
          <w:shd w:val="clear" w:fill="FFFFFF"/>
        </w:rPr>
        <w:t>存在的主要问题。</w:t>
      </w:r>
      <w:r>
        <w:rPr>
          <w:rFonts w:hint="default" w:ascii="仿宋_GB2312" w:hAnsi="Times New Roman" w:eastAsia="仿宋_GB2312" w:cs="仿宋_GB2312"/>
          <w:i w:val="0"/>
          <w:iCs w:val="0"/>
          <w:caps w:val="0"/>
          <w:color w:val="000000"/>
          <w:spacing w:val="0"/>
          <w:sz w:val="32"/>
          <w:szCs w:val="32"/>
        </w:rPr>
        <w:t>公开内容深度与精准度不足。一方面，公开内容多以基础工作动态为主，针对群众关心的重点项目推进细节、热点问题回应等深层次内容供给不足，难以满足公众多样化、个性化的信息需求</w:t>
      </w:r>
      <w:r>
        <w:rPr>
          <w:rFonts w:hint="eastAsia" w:ascii="仿宋_GB2312" w:hAnsi="Times New Roman" w:eastAsia="仿宋_GB2312" w:cs="仿宋_GB2312"/>
          <w:i w:val="0"/>
          <w:iCs w:val="0"/>
          <w:caps w:val="0"/>
          <w:color w:val="000000"/>
          <w:spacing w:val="0"/>
          <w:sz w:val="32"/>
          <w:szCs w:val="32"/>
          <w:lang w:eastAsia="zh-CN"/>
        </w:rPr>
        <w:t>。</w:t>
      </w:r>
    </w:p>
    <w:p w14:paraId="68138532">
      <w:pPr>
        <w:pStyle w:val="2"/>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555" w:lineRule="atLeast"/>
        <w:ind w:left="0" w:right="0" w:firstLine="645"/>
        <w:rPr>
          <w:rFonts w:hint="default" w:ascii="sans-serif" w:hAnsi="sans-serif" w:eastAsia="sans-serif" w:cs="sans-serif"/>
          <w:i w:val="0"/>
          <w:iCs w:val="0"/>
          <w:caps w:val="0"/>
          <w:color w:val="000000"/>
          <w:spacing w:val="0"/>
          <w:sz w:val="32"/>
          <w:szCs w:val="32"/>
        </w:rPr>
      </w:pPr>
      <w:r>
        <w:rPr>
          <w:rFonts w:hint="default" w:ascii="Times New Roman" w:hAnsi="Times New Roman" w:eastAsia="sans-serif" w:cs="Times New Roman"/>
          <w:i w:val="0"/>
          <w:iCs w:val="0"/>
          <w:caps w:val="0"/>
          <w:color w:val="1F2329"/>
          <w:spacing w:val="0"/>
          <w:sz w:val="32"/>
          <w:szCs w:val="32"/>
          <w:shd w:val="clear" w:fill="FFFFFF"/>
        </w:rPr>
        <w:t>2.</w:t>
      </w:r>
      <w:r>
        <w:rPr>
          <w:rFonts w:hint="default" w:ascii="楷体_GB2312" w:hAnsi="Times New Roman" w:eastAsia="楷体_GB2312" w:cs="楷体_GB2312"/>
          <w:i w:val="0"/>
          <w:iCs w:val="0"/>
          <w:caps w:val="0"/>
          <w:color w:val="1F2329"/>
          <w:spacing w:val="0"/>
          <w:sz w:val="32"/>
          <w:szCs w:val="32"/>
          <w:shd w:val="clear" w:fill="FFFFFF"/>
        </w:rPr>
        <w:t>下一步改进措施。</w:t>
      </w:r>
      <w:r>
        <w:rPr>
          <w:rStyle w:val="5"/>
          <w:rFonts w:hint="default" w:ascii="仿宋_GB2312" w:hAnsi="Times New Roman" w:eastAsia="仿宋_GB2312" w:cs="仿宋_GB2312"/>
          <w:i w:val="0"/>
          <w:iCs w:val="0"/>
          <w:caps w:val="0"/>
          <w:color w:val="1F2329"/>
          <w:spacing w:val="0"/>
          <w:sz w:val="32"/>
          <w:szCs w:val="32"/>
          <w:shd w:val="clear" w:fill="FFFFFF"/>
        </w:rPr>
        <w:t>深化公开内容供给，提升信息质量。</w:t>
      </w:r>
      <w:r>
        <w:rPr>
          <w:rFonts w:hint="default" w:ascii="仿宋_GB2312" w:hAnsi="Times New Roman" w:eastAsia="仿宋_GB2312" w:cs="仿宋_GB2312"/>
          <w:i w:val="0"/>
          <w:iCs w:val="0"/>
          <w:caps w:val="0"/>
          <w:color w:val="000000"/>
          <w:spacing w:val="0"/>
          <w:sz w:val="32"/>
          <w:szCs w:val="32"/>
        </w:rPr>
        <w:t>建立公开内容清单化管理机制，围绕群众关切的重点项目、热点问题等，明确深层次公开内容范畴，在公开基础信息的同时，同步</w:t>
      </w:r>
      <w:r>
        <w:rPr>
          <w:rFonts w:hint="eastAsia" w:ascii="仿宋_GB2312" w:hAnsi="Times New Roman" w:eastAsia="仿宋_GB2312" w:cs="仿宋_GB2312"/>
          <w:i w:val="0"/>
          <w:iCs w:val="0"/>
          <w:caps w:val="0"/>
          <w:color w:val="000000"/>
          <w:spacing w:val="0"/>
          <w:sz w:val="32"/>
          <w:szCs w:val="32"/>
          <w:lang w:val="en-US" w:eastAsia="zh-CN"/>
        </w:rPr>
        <w:t>公开</w:t>
      </w:r>
      <w:r>
        <w:rPr>
          <w:rFonts w:hint="default" w:ascii="仿宋_GB2312" w:hAnsi="Times New Roman" w:eastAsia="仿宋_GB2312" w:cs="仿宋_GB2312"/>
          <w:i w:val="0"/>
          <w:iCs w:val="0"/>
          <w:caps w:val="0"/>
          <w:color w:val="000000"/>
          <w:spacing w:val="0"/>
          <w:sz w:val="32"/>
          <w:szCs w:val="32"/>
        </w:rPr>
        <w:t>进展细节、实施成效、存在问题及下一步计划。</w:t>
      </w:r>
      <w:r>
        <w:rPr>
          <w:rFonts w:hint="eastAsia" w:ascii="仿宋_GB2312" w:hAnsi="Times New Roman" w:eastAsia="仿宋_GB2312" w:cs="仿宋_GB2312"/>
          <w:i w:val="0"/>
          <w:iCs w:val="0"/>
          <w:caps w:val="0"/>
          <w:color w:val="000000"/>
          <w:spacing w:val="0"/>
          <w:sz w:val="32"/>
          <w:szCs w:val="32"/>
          <w:lang w:val="en-US" w:eastAsia="zh-CN"/>
        </w:rPr>
        <w:t>同时，</w:t>
      </w:r>
      <w:r>
        <w:rPr>
          <w:rFonts w:hint="default" w:ascii="仿宋_GB2312" w:hAnsi="Times New Roman" w:eastAsia="仿宋_GB2312" w:cs="仿宋_GB2312"/>
          <w:i w:val="0"/>
          <w:iCs w:val="0"/>
          <w:caps w:val="0"/>
          <w:color w:val="000000"/>
          <w:spacing w:val="0"/>
          <w:sz w:val="32"/>
          <w:szCs w:val="32"/>
        </w:rPr>
        <w:t>定期开展公开内容调研，收集公众信息需求建议，动态优化公开内容，精准匹配公众诉求。</w:t>
      </w:r>
    </w:p>
    <w:p w14:paraId="110BF888">
      <w:pPr>
        <w:pStyle w:val="2"/>
        <w:keepNext w:val="0"/>
        <w:keepLines w:val="0"/>
        <w:widowControl/>
        <w:suppressLineNumbers w:val="0"/>
        <w:spacing w:line="555" w:lineRule="atLeast"/>
        <w:ind w:left="0" w:firstLine="615"/>
        <w:rPr>
          <w:rFonts w:hint="default" w:ascii="sans-serif" w:hAnsi="sans-serif" w:eastAsia="sans-serif" w:cs="sans-serif"/>
          <w:i w:val="0"/>
          <w:iCs w:val="0"/>
          <w:caps w:val="0"/>
          <w:color w:val="000000"/>
          <w:spacing w:val="0"/>
          <w:sz w:val="32"/>
          <w:szCs w:val="32"/>
        </w:rPr>
      </w:pPr>
      <w:r>
        <w:rPr>
          <w:rFonts w:hint="eastAsia" w:ascii="黑体" w:hAnsi="宋体" w:eastAsia="黑体" w:cs="黑体"/>
          <w:i w:val="0"/>
          <w:iCs w:val="0"/>
          <w:caps w:val="0"/>
          <w:color w:val="000000"/>
          <w:spacing w:val="0"/>
          <w:sz w:val="32"/>
          <w:szCs w:val="32"/>
        </w:rPr>
        <w:t>六、其他需要报告的事项</w:t>
      </w:r>
    </w:p>
    <w:p w14:paraId="4207DC90">
      <w:pPr>
        <w:pStyle w:val="2"/>
        <w:keepNext w:val="0"/>
        <w:keepLines w:val="0"/>
        <w:widowControl/>
        <w:suppressLineNumbers w:val="0"/>
        <w:spacing w:line="555" w:lineRule="atLeast"/>
        <w:ind w:left="0" w:firstLine="645"/>
        <w:rPr>
          <w:rFonts w:hint="default" w:ascii="sans-serif" w:hAnsi="sans-serif" w:eastAsia="sans-serif" w:cs="sans-serif"/>
          <w:i w:val="0"/>
          <w:iCs w:val="0"/>
          <w:caps w:val="0"/>
          <w:color w:val="000000"/>
          <w:spacing w:val="0"/>
          <w:sz w:val="32"/>
          <w:szCs w:val="32"/>
        </w:rPr>
      </w:pPr>
      <w:r>
        <w:rPr>
          <w:rFonts w:hint="default" w:ascii="仿宋_GB2312" w:hAnsi="Times New Roman" w:eastAsia="仿宋_GB2312" w:cs="仿宋_GB2312"/>
          <w:i w:val="0"/>
          <w:iCs w:val="0"/>
          <w:caps w:val="0"/>
          <w:color w:val="000000"/>
          <w:spacing w:val="0"/>
          <w:sz w:val="32"/>
          <w:szCs w:val="32"/>
        </w:rPr>
        <w:t>（一）本年度政府信息公开申请未达到《政府信息公开信息处理费管理办法》（国办函〔</w:t>
      </w:r>
      <w:r>
        <w:rPr>
          <w:rFonts w:hint="default" w:ascii="Times New Roman" w:hAnsi="Times New Roman" w:eastAsia="sans-serif" w:cs="Times New Roman"/>
          <w:i w:val="0"/>
          <w:iCs w:val="0"/>
          <w:caps w:val="0"/>
          <w:color w:val="000000"/>
          <w:spacing w:val="0"/>
          <w:sz w:val="32"/>
          <w:szCs w:val="32"/>
        </w:rPr>
        <w:t>2020</w:t>
      </w:r>
      <w:r>
        <w:rPr>
          <w:rFonts w:hint="default" w:ascii="仿宋_GB2312" w:hAnsi="Times New Roman" w:eastAsia="仿宋_GB2312" w:cs="仿宋_GB2312"/>
          <w:i w:val="0"/>
          <w:iCs w:val="0"/>
          <w:caps w:val="0"/>
          <w:color w:val="000000"/>
          <w:spacing w:val="0"/>
          <w:sz w:val="32"/>
          <w:szCs w:val="32"/>
        </w:rPr>
        <w:t>〕</w:t>
      </w:r>
      <w:r>
        <w:rPr>
          <w:rFonts w:hint="default" w:ascii="Times New Roman" w:hAnsi="Times New Roman" w:eastAsia="sans-serif" w:cs="Times New Roman"/>
          <w:i w:val="0"/>
          <w:iCs w:val="0"/>
          <w:caps w:val="0"/>
          <w:color w:val="000000"/>
          <w:spacing w:val="0"/>
          <w:sz w:val="32"/>
          <w:szCs w:val="32"/>
        </w:rPr>
        <w:t>109</w:t>
      </w:r>
      <w:r>
        <w:rPr>
          <w:rFonts w:hint="default" w:ascii="仿宋_GB2312" w:hAnsi="Times New Roman" w:eastAsia="仿宋_GB2312" w:cs="仿宋_GB2312"/>
          <w:i w:val="0"/>
          <w:iCs w:val="0"/>
          <w:caps w:val="0"/>
          <w:color w:val="000000"/>
          <w:spacing w:val="0"/>
          <w:sz w:val="32"/>
          <w:szCs w:val="32"/>
        </w:rPr>
        <w:t>号）所规定的信息处理费收费标准，故未收取信息处理费。根据《关于清理规范一批行政事业性收费有关政策的通知》规定，本年度依申请公开政府信息未收取任何费用，包括</w:t>
      </w:r>
      <w:r>
        <w:rPr>
          <w:rFonts w:hint="default" w:ascii="仿宋_GB2312" w:hAnsi="sans-serif" w:eastAsia="仿宋_GB2312" w:cs="仿宋_GB2312"/>
          <w:i w:val="0"/>
          <w:iCs w:val="0"/>
          <w:caps w:val="0"/>
          <w:color w:val="000000"/>
          <w:spacing w:val="0"/>
          <w:sz w:val="32"/>
          <w:szCs w:val="32"/>
        </w:rPr>
        <w:t>：</w:t>
      </w:r>
      <w:r>
        <w:rPr>
          <w:rFonts w:hint="default" w:ascii="仿宋_GB2312" w:hAnsi="Times New Roman" w:eastAsia="仿宋_GB2312" w:cs="仿宋_GB2312"/>
          <w:i w:val="0"/>
          <w:iCs w:val="0"/>
          <w:caps w:val="0"/>
          <w:color w:val="000000"/>
          <w:spacing w:val="0"/>
          <w:sz w:val="32"/>
          <w:szCs w:val="32"/>
        </w:rPr>
        <w:t>检索费、复制费</w:t>
      </w:r>
      <w:r>
        <w:rPr>
          <w:rFonts w:hint="default" w:ascii="Times New Roman" w:hAnsi="Times New Roman" w:eastAsia="sans-serif" w:cs="Times New Roman"/>
          <w:i w:val="0"/>
          <w:iCs w:val="0"/>
          <w:caps w:val="0"/>
          <w:color w:val="000000"/>
          <w:spacing w:val="0"/>
          <w:sz w:val="32"/>
          <w:szCs w:val="32"/>
        </w:rPr>
        <w:t>(</w:t>
      </w:r>
      <w:r>
        <w:rPr>
          <w:rFonts w:hint="default" w:ascii="仿宋_GB2312" w:hAnsi="Times New Roman" w:eastAsia="仿宋_GB2312" w:cs="仿宋_GB2312"/>
          <w:i w:val="0"/>
          <w:iCs w:val="0"/>
          <w:caps w:val="0"/>
          <w:color w:val="000000"/>
          <w:spacing w:val="0"/>
          <w:sz w:val="32"/>
          <w:szCs w:val="32"/>
        </w:rPr>
        <w:t>含案卷材料复制费</w:t>
      </w:r>
      <w:r>
        <w:rPr>
          <w:rFonts w:hint="default" w:ascii="Times New Roman" w:hAnsi="Times New Roman" w:eastAsia="sans-serif" w:cs="Times New Roman"/>
          <w:i w:val="0"/>
          <w:iCs w:val="0"/>
          <w:caps w:val="0"/>
          <w:color w:val="000000"/>
          <w:spacing w:val="0"/>
          <w:sz w:val="32"/>
          <w:szCs w:val="32"/>
        </w:rPr>
        <w:t>)</w:t>
      </w:r>
      <w:r>
        <w:rPr>
          <w:rFonts w:hint="default" w:ascii="仿宋_GB2312" w:hAnsi="Times New Roman" w:eastAsia="仿宋_GB2312" w:cs="仿宋_GB2312"/>
          <w:i w:val="0"/>
          <w:iCs w:val="0"/>
          <w:caps w:val="0"/>
          <w:color w:val="000000"/>
          <w:spacing w:val="0"/>
          <w:sz w:val="32"/>
          <w:szCs w:val="32"/>
        </w:rPr>
        <w:t>、邮寄费。</w:t>
      </w:r>
    </w:p>
    <w:p w14:paraId="45D95786">
      <w:pPr>
        <w:pStyle w:val="2"/>
        <w:keepNext w:val="0"/>
        <w:keepLines w:val="0"/>
        <w:widowControl/>
        <w:suppressLineNumbers w:val="0"/>
        <w:spacing w:line="555" w:lineRule="atLeast"/>
        <w:ind w:left="0" w:firstLine="645"/>
        <w:rPr>
          <w:rFonts w:hint="default" w:ascii="sans-serif" w:hAnsi="sans-serif" w:eastAsia="sans-serif" w:cs="sans-serif"/>
          <w:i w:val="0"/>
          <w:iCs w:val="0"/>
          <w:caps w:val="0"/>
          <w:color w:val="000000"/>
          <w:spacing w:val="0"/>
          <w:sz w:val="32"/>
          <w:szCs w:val="32"/>
        </w:rPr>
      </w:pPr>
      <w:r>
        <w:rPr>
          <w:rFonts w:hint="default" w:ascii="仿宋_GB2312" w:hAnsi="Times New Roman" w:eastAsia="仿宋_GB2312" w:cs="仿宋_GB2312"/>
          <w:i w:val="0"/>
          <w:iCs w:val="0"/>
          <w:caps w:val="0"/>
          <w:color w:val="000000"/>
          <w:spacing w:val="0"/>
          <w:sz w:val="32"/>
          <w:szCs w:val="32"/>
        </w:rPr>
        <w:t>（二）落实</w:t>
      </w:r>
      <w:r>
        <w:rPr>
          <w:rFonts w:hint="default" w:ascii="Times New Roman" w:hAnsi="Times New Roman" w:eastAsia="sans-serif" w:cs="Times New Roman"/>
          <w:i w:val="0"/>
          <w:iCs w:val="0"/>
          <w:caps w:val="0"/>
          <w:color w:val="000000"/>
          <w:spacing w:val="0"/>
          <w:sz w:val="32"/>
          <w:szCs w:val="32"/>
        </w:rPr>
        <w:t>2025</w:t>
      </w:r>
      <w:r>
        <w:rPr>
          <w:rFonts w:hint="default" w:ascii="仿宋_GB2312" w:hAnsi="Times New Roman" w:eastAsia="仿宋_GB2312" w:cs="仿宋_GB2312"/>
          <w:i w:val="0"/>
          <w:iCs w:val="0"/>
          <w:caps w:val="0"/>
          <w:color w:val="000000"/>
          <w:spacing w:val="0"/>
          <w:sz w:val="32"/>
          <w:szCs w:val="32"/>
        </w:rPr>
        <w:t>年山东省政务公开效能监测实施</w:t>
      </w:r>
      <w:r>
        <w:rPr>
          <w:rFonts w:hint="default" w:ascii="仿宋_GB2312" w:hAnsi="sans-serif" w:eastAsia="仿宋_GB2312" w:cs="仿宋_GB2312"/>
          <w:i w:val="0"/>
          <w:iCs w:val="0"/>
          <w:caps w:val="0"/>
          <w:color w:val="000000"/>
          <w:spacing w:val="0"/>
          <w:sz w:val="32"/>
          <w:szCs w:val="32"/>
        </w:rPr>
        <w:t>方</w:t>
      </w:r>
      <w:r>
        <w:rPr>
          <w:rFonts w:hint="default" w:ascii="仿宋_GB2312" w:hAnsi="Times New Roman" w:eastAsia="仿宋_GB2312" w:cs="仿宋_GB2312"/>
          <w:i w:val="0"/>
          <w:iCs w:val="0"/>
          <w:caps w:val="0"/>
          <w:color w:val="000000"/>
          <w:spacing w:val="0"/>
          <w:sz w:val="32"/>
          <w:szCs w:val="32"/>
        </w:rPr>
        <w:t>案。根据</w:t>
      </w:r>
      <w:r>
        <w:rPr>
          <w:rFonts w:hint="default" w:ascii="仿宋_GB2312" w:hAnsi="sans-serif" w:eastAsia="仿宋_GB2312" w:cs="仿宋_GB2312"/>
          <w:i w:val="0"/>
          <w:iCs w:val="0"/>
          <w:caps w:val="0"/>
          <w:color w:val="000000"/>
          <w:spacing w:val="0"/>
          <w:sz w:val="32"/>
          <w:szCs w:val="32"/>
        </w:rPr>
        <w:t>省</w:t>
      </w:r>
      <w:r>
        <w:rPr>
          <w:rFonts w:hint="default" w:ascii="仿宋_GB2312" w:hAnsi="Times New Roman" w:eastAsia="仿宋_GB2312" w:cs="仿宋_GB2312"/>
          <w:i w:val="0"/>
          <w:iCs w:val="0"/>
          <w:caps w:val="0"/>
          <w:color w:val="000000"/>
          <w:spacing w:val="0"/>
          <w:sz w:val="32"/>
          <w:szCs w:val="32"/>
        </w:rPr>
        <w:t>市区政务公开要求，结合集团实际，制作主动公开基本目录清单，并及时更新部门信息、产业发展、重点项目等各类信息，促进集团政务公开工作提质增效。</w:t>
      </w:r>
    </w:p>
    <w:p w14:paraId="3BBFAD80">
      <w:pPr>
        <w:pStyle w:val="2"/>
        <w:keepNext w:val="0"/>
        <w:keepLines w:val="0"/>
        <w:widowControl/>
        <w:suppressLineNumbers w:val="0"/>
        <w:spacing w:line="555" w:lineRule="atLeast"/>
        <w:ind w:left="0" w:firstLine="645"/>
        <w:rPr>
          <w:rFonts w:hint="default" w:ascii="sans-serif" w:hAnsi="sans-serif" w:eastAsia="sans-serif" w:cs="sans-serif"/>
          <w:i w:val="0"/>
          <w:iCs w:val="0"/>
          <w:caps w:val="0"/>
          <w:color w:val="000000"/>
          <w:spacing w:val="0"/>
          <w:sz w:val="32"/>
          <w:szCs w:val="32"/>
        </w:rPr>
      </w:pPr>
      <w:r>
        <w:rPr>
          <w:rFonts w:hint="default" w:ascii="仿宋_GB2312" w:hAnsi="Times New Roman" w:eastAsia="仿宋_GB2312" w:cs="仿宋_GB2312"/>
          <w:i w:val="0"/>
          <w:iCs w:val="0"/>
          <w:caps w:val="0"/>
          <w:color w:val="000000"/>
          <w:spacing w:val="0"/>
          <w:sz w:val="32"/>
          <w:szCs w:val="32"/>
        </w:rPr>
        <w:t>（三）2025年全年接到市人大常委会交办的人大代表建议办理工作0件，收到市政协会议提案</w:t>
      </w:r>
      <w:r>
        <w:rPr>
          <w:rFonts w:hint="eastAsia" w:ascii="仿宋_GB2312" w:hAnsi="Times New Roman" w:eastAsia="仿宋_GB2312" w:cs="仿宋_GB2312"/>
          <w:i w:val="0"/>
          <w:iCs w:val="0"/>
          <w:caps w:val="0"/>
          <w:color w:val="000000"/>
          <w:spacing w:val="0"/>
          <w:sz w:val="32"/>
          <w:szCs w:val="32"/>
          <w:lang w:val="en-US" w:eastAsia="zh-CN"/>
        </w:rPr>
        <w:t>0</w:t>
      </w:r>
      <w:r>
        <w:rPr>
          <w:rFonts w:hint="default" w:ascii="仿宋_GB2312" w:hAnsi="Times New Roman" w:eastAsia="仿宋_GB2312" w:cs="仿宋_GB2312"/>
          <w:i w:val="0"/>
          <w:iCs w:val="0"/>
          <w:caps w:val="0"/>
          <w:color w:val="000000"/>
          <w:spacing w:val="0"/>
          <w:sz w:val="32"/>
          <w:szCs w:val="32"/>
        </w:rPr>
        <w:t>件。</w:t>
      </w:r>
    </w:p>
    <w:p w14:paraId="53424C03">
      <w:pPr>
        <w:pStyle w:val="2"/>
        <w:keepNext w:val="0"/>
        <w:keepLines w:val="0"/>
        <w:widowControl/>
        <w:suppressLineNumbers w:val="0"/>
        <w:spacing w:line="555" w:lineRule="atLeast"/>
        <w:ind w:left="0" w:firstLine="645"/>
        <w:rPr>
          <w:rFonts w:hint="default" w:ascii="sans-serif" w:hAnsi="sans-serif" w:eastAsia="sans-serif" w:cs="sans-serif"/>
          <w:i w:val="0"/>
          <w:iCs w:val="0"/>
          <w:caps w:val="0"/>
          <w:color w:val="000000"/>
          <w:spacing w:val="0"/>
          <w:sz w:val="32"/>
          <w:szCs w:val="32"/>
        </w:rPr>
      </w:pPr>
      <w:r>
        <w:rPr>
          <w:rFonts w:hint="default" w:ascii="仿宋_GB2312" w:hAnsi="Times New Roman" w:eastAsia="仿宋_GB2312" w:cs="仿宋_GB2312"/>
          <w:i w:val="0"/>
          <w:iCs w:val="0"/>
          <w:caps w:val="0"/>
          <w:color w:val="000000"/>
          <w:spacing w:val="0"/>
          <w:sz w:val="32"/>
          <w:szCs w:val="32"/>
        </w:rPr>
        <w:t>（四）</w:t>
      </w:r>
      <w:r>
        <w:rPr>
          <w:rFonts w:hint="default" w:ascii="Times New Roman" w:hAnsi="Times New Roman" w:eastAsia="sans-serif" w:cs="Times New Roman"/>
          <w:i w:val="0"/>
          <w:iCs w:val="0"/>
          <w:caps w:val="0"/>
          <w:color w:val="000000"/>
          <w:spacing w:val="0"/>
          <w:sz w:val="32"/>
          <w:szCs w:val="32"/>
        </w:rPr>
        <w:t>202</w:t>
      </w:r>
      <w:r>
        <w:rPr>
          <w:rFonts w:hint="eastAsia" w:ascii="Times New Roman" w:hAnsi="Times New Roman" w:eastAsia="宋体" w:cs="Times New Roman"/>
          <w:i w:val="0"/>
          <w:iCs w:val="0"/>
          <w:caps w:val="0"/>
          <w:color w:val="000000"/>
          <w:spacing w:val="0"/>
          <w:sz w:val="32"/>
          <w:szCs w:val="32"/>
          <w:lang w:val="en-US" w:eastAsia="zh-CN"/>
        </w:rPr>
        <w:t>6</w:t>
      </w:r>
      <w:r>
        <w:rPr>
          <w:rFonts w:hint="default" w:ascii="仿宋_GB2312" w:hAnsi="Times New Roman" w:eastAsia="仿宋_GB2312" w:cs="仿宋_GB2312"/>
          <w:i w:val="0"/>
          <w:iCs w:val="0"/>
          <w:caps w:val="0"/>
          <w:color w:val="000000"/>
          <w:spacing w:val="0"/>
          <w:sz w:val="32"/>
          <w:szCs w:val="32"/>
        </w:rPr>
        <w:t>年度政务公开工作创新情况。</w:t>
      </w:r>
      <w:r>
        <w:rPr>
          <w:rFonts w:hint="eastAsia" w:ascii="仿宋_GB2312" w:hAnsi="Times New Roman" w:eastAsia="仿宋_GB2312" w:cs="仿宋_GB2312"/>
          <w:i w:val="0"/>
          <w:iCs w:val="0"/>
          <w:caps w:val="0"/>
          <w:color w:val="000000"/>
          <w:spacing w:val="0"/>
          <w:sz w:val="32"/>
          <w:szCs w:val="32"/>
          <w:lang w:val="en-US" w:eastAsia="zh-CN"/>
        </w:rPr>
        <w:t>一、高标准策划实施“政府开放日”活动。立足国企服务社会、联系群众的职责使命，主动搭建政企民良性互动的沟通桥梁，广泛吸纳社会各界意见建议，推动政务公开工作深度融入民生改善、服务区域发展战略。二、高质量推进信息内容公开。紧扣集团主责主业与群众急难愁盼问题，靶向发力做好信息发布工作，围绕核心业务优化公开颗粒度、拓展公开维度，以精准公开助力提升企业公信力，彰显国企主动接受社会监督的责任担当</w:t>
      </w:r>
      <w:r>
        <w:rPr>
          <w:rFonts w:hint="default" w:ascii="仿宋_GB2312" w:hAnsi="Times New Roman" w:eastAsia="仿宋_GB2312" w:cs="仿宋_GB2312"/>
          <w:i w:val="0"/>
          <w:iCs w:val="0"/>
          <w:caps w:val="0"/>
          <w:color w:val="000000"/>
          <w:spacing w:val="0"/>
          <w:sz w:val="32"/>
          <w:szCs w:val="32"/>
        </w:rPr>
        <w:t>。</w:t>
      </w:r>
    </w:p>
    <w:p w14:paraId="120445B4">
      <w:pPr>
        <w:pStyle w:val="2"/>
        <w:keepNext w:val="0"/>
        <w:keepLines w:val="0"/>
        <w:widowControl/>
        <w:suppressLineNumbers w:val="0"/>
        <w:spacing w:line="555" w:lineRule="atLeast"/>
        <w:ind w:left="0" w:firstLine="645"/>
        <w:rPr>
          <w:rFonts w:hint="default" w:ascii="sans-serif" w:hAnsi="sans-serif" w:eastAsia="sans-serif" w:cs="sans-serif"/>
          <w:i w:val="0"/>
          <w:iCs w:val="0"/>
          <w:caps w:val="0"/>
          <w:color w:val="000000"/>
          <w:spacing w:val="0"/>
          <w:sz w:val="32"/>
          <w:szCs w:val="32"/>
        </w:rPr>
      </w:pPr>
      <w:r>
        <w:rPr>
          <w:rFonts w:hint="default" w:ascii="仿宋_GB2312" w:hAnsi="Times New Roman" w:eastAsia="仿宋_GB2312" w:cs="仿宋_GB2312"/>
          <w:i w:val="0"/>
          <w:iCs w:val="0"/>
          <w:caps w:val="0"/>
          <w:color w:val="000000"/>
          <w:spacing w:val="0"/>
          <w:sz w:val="32"/>
          <w:szCs w:val="32"/>
        </w:rPr>
        <w:t>（五）本行政机关政府信息公开工作年度报告数据统计需要说明的事项。本报告中所列数据的统计时限为</w:t>
      </w:r>
      <w:r>
        <w:rPr>
          <w:rFonts w:hint="default" w:ascii="Times New Roman" w:hAnsi="Times New Roman" w:eastAsia="sans-serif" w:cs="Times New Roman"/>
          <w:i w:val="0"/>
          <w:iCs w:val="0"/>
          <w:caps w:val="0"/>
          <w:color w:val="000000"/>
          <w:spacing w:val="0"/>
          <w:sz w:val="32"/>
          <w:szCs w:val="32"/>
        </w:rPr>
        <w:t>2025</w:t>
      </w:r>
      <w:r>
        <w:rPr>
          <w:rFonts w:hint="default" w:ascii="仿宋_GB2312" w:hAnsi="Times New Roman" w:eastAsia="仿宋_GB2312" w:cs="仿宋_GB2312"/>
          <w:i w:val="0"/>
          <w:iCs w:val="0"/>
          <w:caps w:val="0"/>
          <w:color w:val="000000"/>
          <w:spacing w:val="0"/>
          <w:sz w:val="32"/>
          <w:szCs w:val="32"/>
        </w:rPr>
        <w:t>年</w:t>
      </w:r>
      <w:r>
        <w:rPr>
          <w:rFonts w:hint="default" w:ascii="Times New Roman" w:hAnsi="Times New Roman" w:eastAsia="sans-serif" w:cs="Times New Roman"/>
          <w:i w:val="0"/>
          <w:iCs w:val="0"/>
          <w:caps w:val="0"/>
          <w:color w:val="000000"/>
          <w:spacing w:val="0"/>
          <w:sz w:val="32"/>
          <w:szCs w:val="32"/>
        </w:rPr>
        <w:t>1</w:t>
      </w:r>
      <w:r>
        <w:rPr>
          <w:rFonts w:hint="default" w:ascii="仿宋_GB2312" w:hAnsi="Times New Roman" w:eastAsia="仿宋_GB2312" w:cs="仿宋_GB2312"/>
          <w:i w:val="0"/>
          <w:iCs w:val="0"/>
          <w:caps w:val="0"/>
          <w:color w:val="000000"/>
          <w:spacing w:val="0"/>
          <w:sz w:val="32"/>
          <w:szCs w:val="32"/>
        </w:rPr>
        <w:t>月</w:t>
      </w:r>
      <w:r>
        <w:rPr>
          <w:rFonts w:hint="default" w:ascii="Times New Roman" w:hAnsi="Times New Roman" w:eastAsia="sans-serif" w:cs="Times New Roman"/>
          <w:i w:val="0"/>
          <w:iCs w:val="0"/>
          <w:caps w:val="0"/>
          <w:color w:val="000000"/>
          <w:spacing w:val="0"/>
          <w:sz w:val="32"/>
          <w:szCs w:val="32"/>
        </w:rPr>
        <w:t>1</w:t>
      </w:r>
      <w:r>
        <w:rPr>
          <w:rFonts w:hint="default" w:ascii="仿宋_GB2312" w:hAnsi="Times New Roman" w:eastAsia="仿宋_GB2312" w:cs="仿宋_GB2312"/>
          <w:i w:val="0"/>
          <w:iCs w:val="0"/>
          <w:caps w:val="0"/>
          <w:color w:val="000000"/>
          <w:spacing w:val="0"/>
          <w:sz w:val="32"/>
          <w:szCs w:val="32"/>
        </w:rPr>
        <w:t>日至</w:t>
      </w:r>
      <w:r>
        <w:rPr>
          <w:rFonts w:hint="default" w:ascii="Times New Roman" w:hAnsi="Times New Roman" w:eastAsia="sans-serif" w:cs="Times New Roman"/>
          <w:i w:val="0"/>
          <w:iCs w:val="0"/>
          <w:caps w:val="0"/>
          <w:color w:val="000000"/>
          <w:spacing w:val="0"/>
          <w:sz w:val="32"/>
          <w:szCs w:val="32"/>
        </w:rPr>
        <w:t>2025</w:t>
      </w:r>
      <w:r>
        <w:rPr>
          <w:rFonts w:hint="default" w:ascii="仿宋_GB2312" w:hAnsi="Times New Roman" w:eastAsia="仿宋_GB2312" w:cs="仿宋_GB2312"/>
          <w:i w:val="0"/>
          <w:iCs w:val="0"/>
          <w:caps w:val="0"/>
          <w:color w:val="000000"/>
          <w:spacing w:val="0"/>
          <w:sz w:val="32"/>
          <w:szCs w:val="32"/>
        </w:rPr>
        <w:t>年</w:t>
      </w:r>
      <w:r>
        <w:rPr>
          <w:rFonts w:hint="default" w:ascii="Times New Roman" w:hAnsi="Times New Roman" w:eastAsia="sans-serif" w:cs="Times New Roman"/>
          <w:i w:val="0"/>
          <w:iCs w:val="0"/>
          <w:caps w:val="0"/>
          <w:color w:val="000000"/>
          <w:spacing w:val="0"/>
          <w:sz w:val="32"/>
          <w:szCs w:val="32"/>
        </w:rPr>
        <w:t>12</w:t>
      </w:r>
      <w:r>
        <w:rPr>
          <w:rFonts w:hint="default" w:ascii="仿宋_GB2312" w:hAnsi="Times New Roman" w:eastAsia="仿宋_GB2312" w:cs="仿宋_GB2312"/>
          <w:i w:val="0"/>
          <w:iCs w:val="0"/>
          <w:caps w:val="0"/>
          <w:color w:val="000000"/>
          <w:spacing w:val="0"/>
          <w:sz w:val="32"/>
          <w:szCs w:val="32"/>
        </w:rPr>
        <w:t>月</w:t>
      </w:r>
      <w:r>
        <w:rPr>
          <w:rFonts w:hint="default" w:ascii="Times New Roman" w:hAnsi="Times New Roman" w:eastAsia="sans-serif" w:cs="Times New Roman"/>
          <w:i w:val="0"/>
          <w:iCs w:val="0"/>
          <w:caps w:val="0"/>
          <w:color w:val="000000"/>
          <w:spacing w:val="0"/>
          <w:sz w:val="32"/>
          <w:szCs w:val="32"/>
        </w:rPr>
        <w:t>31</w:t>
      </w:r>
      <w:r>
        <w:rPr>
          <w:rFonts w:hint="default" w:ascii="仿宋_GB2312" w:hAnsi="Times New Roman" w:eastAsia="仿宋_GB2312" w:cs="仿宋_GB2312"/>
          <w:i w:val="0"/>
          <w:iCs w:val="0"/>
          <w:caps w:val="0"/>
          <w:color w:val="000000"/>
          <w:spacing w:val="0"/>
          <w:sz w:val="32"/>
          <w:szCs w:val="32"/>
        </w:rPr>
        <w:t>日。</w:t>
      </w:r>
    </w:p>
    <w:p w14:paraId="22940605">
      <w:pPr>
        <w:pStyle w:val="2"/>
        <w:keepNext w:val="0"/>
        <w:keepLines w:val="0"/>
        <w:widowControl/>
        <w:suppressLineNumbers w:val="0"/>
        <w:spacing w:line="555" w:lineRule="atLeast"/>
        <w:ind w:left="0" w:firstLine="645"/>
        <w:rPr>
          <w:rFonts w:hint="default" w:ascii="sans-serif" w:hAnsi="sans-serif" w:eastAsia="sans-serif" w:cs="sans-serif"/>
          <w:i w:val="0"/>
          <w:iCs w:val="0"/>
          <w:caps w:val="0"/>
          <w:color w:val="000000"/>
          <w:spacing w:val="0"/>
          <w:sz w:val="32"/>
          <w:szCs w:val="32"/>
        </w:rPr>
      </w:pPr>
      <w:r>
        <w:rPr>
          <w:rFonts w:hint="default" w:ascii="仿宋_GB2312" w:hAnsi="Times New Roman" w:eastAsia="仿宋_GB2312" w:cs="仿宋_GB2312"/>
          <w:i w:val="0"/>
          <w:iCs w:val="0"/>
          <w:caps w:val="0"/>
          <w:color w:val="000000"/>
          <w:spacing w:val="0"/>
          <w:sz w:val="32"/>
          <w:szCs w:val="32"/>
        </w:rPr>
        <w:t>（六）本行政机关认为需要报告的其他事项：无。</w:t>
      </w:r>
    </w:p>
    <w:p w14:paraId="52AB6343">
      <w:pPr>
        <w:pStyle w:val="2"/>
        <w:keepNext w:val="0"/>
        <w:keepLines w:val="0"/>
        <w:widowControl/>
        <w:suppressLineNumbers w:val="0"/>
        <w:spacing w:line="555" w:lineRule="atLeast"/>
        <w:ind w:left="0" w:firstLine="645"/>
        <w:rPr>
          <w:rFonts w:hint="default" w:ascii="sans-serif" w:hAnsi="sans-serif" w:eastAsia="sans-serif" w:cs="sans-serif"/>
          <w:i w:val="0"/>
          <w:iCs w:val="0"/>
          <w:caps w:val="0"/>
          <w:color w:val="000000"/>
          <w:spacing w:val="0"/>
          <w:sz w:val="32"/>
          <w:szCs w:val="32"/>
        </w:rPr>
      </w:pPr>
      <w:r>
        <w:rPr>
          <w:rFonts w:hint="default" w:ascii="仿宋_GB2312" w:hAnsi="Times New Roman" w:eastAsia="仿宋_GB2312" w:cs="仿宋_GB2312"/>
          <w:i w:val="0"/>
          <w:iCs w:val="0"/>
          <w:caps w:val="0"/>
          <w:color w:val="000000"/>
          <w:spacing w:val="0"/>
          <w:sz w:val="32"/>
          <w:szCs w:val="32"/>
        </w:rPr>
        <w:t>（七）其他有关文件专门要求通过政府信息公开工作年度报告予以报告的事项：无。</w:t>
      </w:r>
    </w:p>
    <w:p w14:paraId="1BB7C592">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5807E8"/>
    <w:rsid w:val="0CE01D8E"/>
    <w:rsid w:val="12D16468"/>
    <w:rsid w:val="18E15979"/>
    <w:rsid w:val="27003DB6"/>
    <w:rsid w:val="2C1E5F27"/>
    <w:rsid w:val="3CBC20D5"/>
    <w:rsid w:val="41E33C60"/>
    <w:rsid w:val="439D7D57"/>
    <w:rsid w:val="490E3CB9"/>
    <w:rsid w:val="543F566E"/>
    <w:rsid w:val="6B5139AF"/>
    <w:rsid w:val="7DA912DF"/>
    <w:rsid w:val="7ED14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NUL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2897</Words>
  <Characters>3025</Characters>
  <Lines>0</Lines>
  <Paragraphs>0</Paragraphs>
  <TotalTime>23</TotalTime>
  <ScaleCrop>false</ScaleCrop>
  <LinksUpToDate>false</LinksUpToDate>
  <CharactersWithSpaces>3025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2026-01-19T02:25:00Z</dcterms:created>
  <dc:creator>94627</dc:creator>
  <cp:lastModifiedBy>Mabel Fan</cp:lastModifiedBy>
  <dcterms:modified xsi:type="dcterms:W3CDTF">2026-01-28T01:51:54Z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eyJoZGlkIjoiMmI4ZWY2NGY2OWNjYTg3NmQxNzU1NTEyZGQyYzQ4NDAiLCJ1c2VySWQiOiIxNDM1MzgzMjI1In0=</vt:lpwstr>
  </property>
  <property fmtid="{D5CDD505-2E9C-101B-9397-08002B2CF9AE}" pid="4" name="ICV">
    <vt:lpwstr>8869290DFEF142A39E40F2AD73D15CD9_13</vt:lpwstr>
  </property>
</Properties>
</file>