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3FF9F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60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枣庄高新区兴城街道</w:t>
      </w:r>
      <w:r>
        <w:rPr>
          <w:rFonts w:hint="eastAsia" w:ascii="方正小标宋简体" w:hAnsi="方正小标宋简体" w:eastAsia="方正小标宋简体" w:cs="方正小标宋简体"/>
          <w:color w:val="auto"/>
          <w:sz w:val="44"/>
          <w:szCs w:val="44"/>
          <w:lang w:eastAsia="zh-CN"/>
        </w:rPr>
        <w:t>办事处</w:t>
      </w:r>
      <w:r>
        <w:rPr>
          <w:rFonts w:hint="eastAsia" w:ascii="方正小标宋简体" w:hAnsi="方正小标宋简体" w:eastAsia="方正小标宋简体" w:cs="方正小标宋简体"/>
          <w:color w:val="auto"/>
          <w:sz w:val="44"/>
          <w:szCs w:val="44"/>
        </w:rPr>
        <w:t>202</w:t>
      </w:r>
      <w:r>
        <w:rPr>
          <w:rFonts w:hint="eastAsia" w:ascii="方正小标宋简体" w:hAnsi="方正小标宋简体" w:eastAsia="方正小标宋简体" w:cs="方正小标宋简体"/>
          <w:color w:val="auto"/>
          <w:sz w:val="44"/>
          <w:szCs w:val="44"/>
          <w:lang w:val="en-US" w:eastAsia="zh-CN"/>
        </w:rPr>
        <w:t>5</w:t>
      </w:r>
      <w:r>
        <w:rPr>
          <w:rFonts w:hint="eastAsia" w:ascii="方正小标宋简体" w:hAnsi="方正小标宋简体" w:eastAsia="方正小标宋简体" w:cs="方正小标宋简体"/>
          <w:color w:val="auto"/>
          <w:sz w:val="44"/>
          <w:szCs w:val="44"/>
        </w:rPr>
        <w:t>年政府</w:t>
      </w:r>
    </w:p>
    <w:p w14:paraId="7E9E3B6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60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信息公开工作年度报告</w:t>
      </w:r>
    </w:p>
    <w:p w14:paraId="41D44FF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rPr>
      </w:pPr>
    </w:p>
    <w:p w14:paraId="5588C06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4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根据《中华人民共和国政府信息公开条例》要求</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结合我街道实际，编制并向社会公开枣庄高新区兴城街道</w:t>
      </w:r>
      <w:r>
        <w:rPr>
          <w:rFonts w:hint="default" w:ascii="Times New Roman" w:hAnsi="Times New Roman" w:eastAsia="仿宋_GB2312" w:cs="Times New Roman"/>
          <w:color w:val="auto"/>
          <w:sz w:val="32"/>
          <w:szCs w:val="32"/>
          <w:lang w:eastAsia="zh-CN"/>
        </w:rPr>
        <w:t>办事处</w:t>
      </w:r>
      <w:r>
        <w:rPr>
          <w:rFonts w:hint="default" w:ascii="Times New Roman" w:hAnsi="Times New Roman" w:eastAsia="仿宋_GB2312" w:cs="Times New Roman"/>
          <w:color w:val="auto"/>
          <w:sz w:val="32"/>
          <w:szCs w:val="32"/>
        </w:rPr>
        <w:t>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年政府信息公开工作年度报告</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年报由总体情况、行政机关主动公开政府信息情况、行政机关收到和处理政府信息公开申请情况、因政府信息公开工作被申请行政复议、提起行政诉讼情况、政府信息公开工作存在的主要问题及改进情况</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其他需要报告的事项六个部分组成。所列数据的统计期限为</w:t>
      </w:r>
      <w:r>
        <w:rPr>
          <w:rFonts w:hint="eastAsia" w:ascii="Times New Roman" w:hAnsi="Times New Roman" w:eastAsia="仿宋_GB2312" w:cs="Times New Roman"/>
          <w:color w:val="auto"/>
          <w:sz w:val="32"/>
          <w:szCs w:val="32"/>
          <w:lang w:val="en-US" w:eastAsia="zh-CN"/>
        </w:rPr>
        <w:t>2025</w:t>
      </w:r>
      <w:r>
        <w:rPr>
          <w:rFonts w:hint="default"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日至</w:t>
      </w:r>
      <w:r>
        <w:rPr>
          <w:rFonts w:hint="eastAsia" w:ascii="Times New Roman" w:hAnsi="Times New Roman" w:eastAsia="仿宋_GB2312" w:cs="Times New Roman"/>
          <w:color w:val="auto"/>
          <w:sz w:val="32"/>
          <w:szCs w:val="32"/>
          <w:lang w:val="en-US" w:eastAsia="zh-CN"/>
        </w:rPr>
        <w:t>2025</w:t>
      </w:r>
      <w:r>
        <w:rPr>
          <w:rFonts w:hint="default"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val="en-US" w:eastAsia="zh-CN"/>
        </w:rPr>
        <w:t>12</w:t>
      </w:r>
      <w:r>
        <w:rPr>
          <w:rFonts w:hint="default"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31</w:t>
      </w:r>
      <w:r>
        <w:rPr>
          <w:rFonts w:hint="default" w:ascii="Times New Roman" w:hAnsi="Times New Roman" w:eastAsia="仿宋_GB2312" w:cs="Times New Roman"/>
          <w:color w:val="auto"/>
          <w:sz w:val="32"/>
          <w:szCs w:val="32"/>
        </w:rPr>
        <w:t>日</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报告电子版可在枣庄高新技术产业开发区官网（http://www.zzctp.gov.cn/）</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政府信息公开年度报告</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栏目下载。如对本报告有疑问，请与</w:t>
      </w:r>
      <w:r>
        <w:rPr>
          <w:rFonts w:hint="eastAsia" w:ascii="Times New Roman" w:hAnsi="Times New Roman" w:eastAsia="仿宋_GB2312" w:cs="Times New Roman"/>
          <w:color w:val="auto"/>
          <w:sz w:val="32"/>
          <w:szCs w:val="32"/>
          <w:lang w:eastAsia="zh-CN"/>
        </w:rPr>
        <w:t>兴城街道办事处党政办公室</w:t>
      </w:r>
      <w:r>
        <w:rPr>
          <w:rFonts w:hint="default" w:ascii="Times New Roman" w:hAnsi="Times New Roman" w:eastAsia="仿宋_GB2312" w:cs="Times New Roman"/>
          <w:color w:val="auto"/>
          <w:sz w:val="32"/>
          <w:szCs w:val="32"/>
        </w:rPr>
        <w:t>联系（联系电话:0632-</w:t>
      </w:r>
      <w:r>
        <w:rPr>
          <w:rFonts w:hint="eastAsia" w:ascii="Times New Roman" w:hAnsi="Times New Roman" w:eastAsia="仿宋_GB2312" w:cs="Times New Roman"/>
          <w:color w:val="auto"/>
          <w:sz w:val="32"/>
          <w:szCs w:val="32"/>
          <w:lang w:val="en-US" w:eastAsia="zh-CN"/>
        </w:rPr>
        <w:t>8671008</w:t>
      </w:r>
      <w:r>
        <w:rPr>
          <w:rFonts w:hint="default" w:ascii="Times New Roman" w:hAnsi="Times New Roman" w:eastAsia="仿宋_GB2312" w:cs="Times New Roman"/>
          <w:color w:val="auto"/>
          <w:sz w:val="32"/>
          <w:szCs w:val="32"/>
        </w:rPr>
        <w:t>，电子邮箱:</w:t>
      </w:r>
      <w:r>
        <w:rPr>
          <w:rFonts w:hint="eastAsia" w:ascii="Times New Roman" w:hAnsi="Times New Roman" w:eastAsia="仿宋_GB2312" w:cs="Times New Roman"/>
          <w:color w:val="auto"/>
          <w:sz w:val="32"/>
          <w:szCs w:val="32"/>
          <w:lang w:val="en-US" w:eastAsia="zh-CN"/>
        </w:rPr>
        <w:t>xingchengjieban@163.com</w:t>
      </w:r>
      <w:r>
        <w:rPr>
          <w:rFonts w:hint="default" w:ascii="Times New Roman" w:hAnsi="Times New Roman" w:eastAsia="仿宋_GB2312" w:cs="Times New Roman"/>
          <w:color w:val="auto"/>
          <w:sz w:val="32"/>
          <w:szCs w:val="32"/>
        </w:rPr>
        <w:t>）。</w:t>
      </w:r>
    </w:p>
    <w:p w14:paraId="0AD233C7">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40" w:lineRule="exact"/>
        <w:ind w:right="0" w:rightChars="0"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一、</w:t>
      </w:r>
      <w:r>
        <w:rPr>
          <w:rFonts w:hint="eastAsia" w:ascii="黑体" w:hAnsi="黑体" w:eastAsia="黑体" w:cs="黑体"/>
          <w:color w:val="auto"/>
          <w:sz w:val="32"/>
          <w:szCs w:val="32"/>
        </w:rPr>
        <w:t>总体情况</w:t>
      </w:r>
    </w:p>
    <w:p w14:paraId="515B399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4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2025年，枣庄高新区兴城街道办事处深入贯彻落实政府信息公开工作的各项决策部署，不断拓宽公开领域维度，细化公开内容标准，创新公开载体形式，健全公开制度机制，以扎实举措切实保障人民群众的知情权、参与权、表达权和监督权。现将我街道2025年度政府信息公开工作开展情况报告如下：</w:t>
      </w:r>
    </w:p>
    <w:p w14:paraId="00157278">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40" w:lineRule="exact"/>
        <w:ind w:right="0" w:rightChars="0" w:firstLine="643" w:firstLineChars="200"/>
        <w:jc w:val="both"/>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（一）主动公开</w:t>
      </w:r>
    </w:p>
    <w:p w14:paraId="14C40DFC">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40" w:lineRule="exact"/>
        <w:ind w:right="0" w:rightChars="0"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2025年兴城街道办事处主动公开政府信息212条。2025年街道通过政府门户网站公开主任办公会议12次，发布会</w:t>
      </w:r>
      <w:r>
        <w:drawing>
          <wp:anchor distT="0" distB="0" distL="114300" distR="114300" simplePos="0" relativeHeight="251660288" behindDoc="0" locked="0" layoutInCell="1" allowOverlap="1">
            <wp:simplePos x="0" y="0"/>
            <wp:positionH relativeFrom="column">
              <wp:posOffset>228600</wp:posOffset>
            </wp:positionH>
            <wp:positionV relativeFrom="paragraph">
              <wp:posOffset>687705</wp:posOffset>
            </wp:positionV>
            <wp:extent cx="4700270" cy="2018030"/>
            <wp:effectExtent l="0" t="0" r="8890" b="8890"/>
            <wp:wrapTopAndBottom/>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4700270" cy="2018030"/>
                    </a:xfrm>
                    <a:prstGeom prst="rect">
                      <a:avLst/>
                    </a:prstGeom>
                    <a:noFill/>
                    <a:ln>
                      <a:noFill/>
                    </a:ln>
                  </pic:spPr>
                </pic:pic>
              </a:graphicData>
            </a:graphic>
          </wp:anchor>
        </w:drawing>
      </w:r>
      <w:r>
        <w:rPr>
          <w:rFonts w:hint="eastAsia" w:ascii="Times New Roman" w:hAnsi="Times New Roman" w:eastAsia="仿宋_GB2312" w:cs="Times New Roman"/>
          <w:color w:val="auto"/>
          <w:sz w:val="32"/>
          <w:szCs w:val="32"/>
          <w:lang w:val="en-US" w:eastAsia="zh-CN"/>
        </w:rPr>
        <w:t>议解读12次，发布通知公告5条，</w:t>
      </w:r>
      <w:r>
        <w:rPr>
          <w:rFonts w:hint="default" w:ascii="Times New Roman" w:hAnsi="Times New Roman" w:eastAsia="仿宋_GB2312" w:cs="Times New Roman"/>
          <w:color w:val="auto"/>
          <w:sz w:val="32"/>
          <w:szCs w:val="32"/>
        </w:rPr>
        <w:t>发布街道信息</w:t>
      </w:r>
      <w:r>
        <w:rPr>
          <w:rFonts w:hint="eastAsia" w:ascii="Times New Roman" w:hAnsi="Times New Roman" w:eastAsia="仿宋_GB2312" w:cs="Times New Roman"/>
          <w:color w:val="auto"/>
          <w:sz w:val="32"/>
          <w:szCs w:val="32"/>
          <w:lang w:val="en-US" w:eastAsia="zh-CN"/>
        </w:rPr>
        <w:t>72</w:t>
      </w:r>
      <w:r>
        <w:rPr>
          <w:rFonts w:hint="default" w:ascii="Times New Roman" w:hAnsi="Times New Roman" w:eastAsia="仿宋_GB2312" w:cs="Times New Roman"/>
          <w:color w:val="auto"/>
          <w:sz w:val="32"/>
          <w:szCs w:val="32"/>
        </w:rPr>
        <w:t>条</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2025年街道</w:t>
      </w:r>
      <w:r>
        <w:rPr>
          <w:rFonts w:hint="eastAsia" w:ascii="Times New Roman" w:hAnsi="Times New Roman" w:eastAsia="仿宋_GB2312" w:cs="Times New Roman"/>
          <w:color w:val="auto"/>
          <w:sz w:val="32"/>
          <w:szCs w:val="32"/>
          <w:lang w:eastAsia="zh-CN"/>
        </w:rPr>
        <w:t>处理</w:t>
      </w:r>
      <w:r>
        <w:rPr>
          <w:rFonts w:hint="eastAsia" w:ascii="Times New Roman" w:hAnsi="Times New Roman" w:eastAsia="仿宋_GB2312" w:cs="Times New Roman"/>
          <w:color w:val="auto"/>
          <w:sz w:val="32"/>
          <w:szCs w:val="32"/>
          <w:lang w:val="en-US" w:eastAsia="zh-CN"/>
        </w:rPr>
        <w:t>政府门户网站</w:t>
      </w:r>
      <w:r>
        <w:rPr>
          <w:rFonts w:hint="eastAsia" w:ascii="Times New Roman" w:hAnsi="Times New Roman" w:eastAsia="仿宋_GB2312" w:cs="Times New Roman"/>
          <w:color w:val="auto"/>
          <w:sz w:val="32"/>
          <w:szCs w:val="32"/>
          <w:lang w:eastAsia="zh-CN"/>
        </w:rPr>
        <w:t>互动交流件</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lang w:eastAsia="zh-CN"/>
        </w:rPr>
        <w:t>件。</w:t>
      </w:r>
    </w:p>
    <w:p w14:paraId="49722B05">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40" w:lineRule="exact"/>
        <w:ind w:right="0" w:rightChars="0"/>
        <w:jc w:val="both"/>
        <w:textAlignment w:val="auto"/>
        <w:rPr>
          <w:rFonts w:hint="eastAsia" w:ascii="楷体_GB2312" w:hAnsi="楷体_GB2312" w:eastAsia="楷体_GB2312" w:cs="楷体_GB2312"/>
          <w:b/>
          <w:bCs/>
          <w:color w:val="auto"/>
          <w:sz w:val="32"/>
          <w:szCs w:val="32"/>
          <w:lang w:val="en-US" w:eastAsia="zh-CN"/>
        </w:rPr>
      </w:pPr>
      <w:r>
        <w:rPr>
          <w:rFonts w:hint="eastAsia"/>
          <w:lang w:val="en-US" w:eastAsia="zh-CN"/>
        </w:rPr>
        <w:t xml:space="preserve">     </w:t>
      </w:r>
      <w:r>
        <w:rPr>
          <w:rFonts w:hint="eastAsia" w:ascii="楷体_GB2312" w:hAnsi="楷体_GB2312" w:eastAsia="楷体_GB2312" w:cs="楷体_GB2312"/>
          <w:b/>
          <w:bCs/>
          <w:color w:val="auto"/>
          <w:sz w:val="32"/>
          <w:szCs w:val="32"/>
          <w:lang w:val="en-US" w:eastAsia="zh-CN"/>
        </w:rPr>
        <w:t>（二）依申请公开</w:t>
      </w:r>
    </w:p>
    <w:p w14:paraId="2AA64701">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40" w:lineRule="exact"/>
        <w:ind w:right="0" w:rightChars="0"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枣庄高新区兴城街道办事处认真执行《中华人民共和国政府信息公开条例》，严格规范依申请公开办理流程，加强政府信息依申请公开事项办理标准化规范化建设。兴城街道共收到依申请公开件3件（其中官网收到2件，信件1件），按时回复3件。兴城街道公开行政复议1件，政府信息公开行政诉讼总数0件。</w:t>
      </w:r>
    </w:p>
    <w:p w14:paraId="2184BCC3">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40" w:lineRule="exact"/>
        <w:ind w:right="0" w:rightChars="0"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收费和减免情况：根据财政部、国家发展改革委联合印发的《关于清理规范一批行政事业性收费有关政策的通知》规定，本年度依申请公开政府信息未收取任何费用，包括：检索费、复制费(含案卷材料复制费)、邮寄费。</w:t>
      </w:r>
    </w:p>
    <w:p w14:paraId="2213A6E8">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40" w:lineRule="exact"/>
        <w:ind w:right="0" w:rightChars="0" w:firstLine="643" w:firstLineChars="200"/>
        <w:jc w:val="both"/>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（三）政府信息管理</w:t>
      </w:r>
    </w:p>
    <w:p w14:paraId="64A2FED1">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40" w:lineRule="exact"/>
        <w:ind w:right="0" w:rightChars="0"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将法定时限作为信息公开的刚性约束，建立主动公开内容按期发布、实时更新的常态化工作机制。夯实工作责任街道党政办公室牵头负责信息公开工作，配备专职人员1名，全面协调街道办事处信息公开的规划实施、监督检查等工作。以制度化管理推动政务公开常态长效，持续提升工作透明度，维护群众的合法权益。</w:t>
      </w:r>
    </w:p>
    <w:p w14:paraId="2D7710B1">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40" w:lineRule="exact"/>
        <w:ind w:right="0" w:rightChars="0" w:firstLine="643" w:firstLineChars="200"/>
        <w:jc w:val="both"/>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（四）政府信息公开平台建设</w:t>
      </w:r>
    </w:p>
    <w:p w14:paraId="2DB00C90">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40" w:lineRule="exact"/>
        <w:ind w:right="0" w:rightChars="0" w:firstLine="643"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一是</w:t>
      </w:r>
      <w:r>
        <w:rPr>
          <w:rFonts w:hint="eastAsia" w:ascii="Times New Roman" w:hAnsi="Times New Roman" w:eastAsia="仿宋_GB2312" w:cs="Times New Roman"/>
          <w:color w:val="auto"/>
          <w:sz w:val="32"/>
          <w:szCs w:val="32"/>
          <w:lang w:val="en-US" w:eastAsia="zh-CN"/>
        </w:rPr>
        <w:t>在街道便民服务中心精心打造政务公开专区与自助服务区，配齐配强智能信息查询设备，引入政务服务一体机、自助查阅电脑、打印机等便民设施。</w:t>
      </w:r>
      <w:r>
        <w:rPr>
          <w:rFonts w:hint="eastAsia" w:ascii="Times New Roman" w:hAnsi="Times New Roman" w:eastAsia="仿宋_GB2312" w:cs="Times New Roman"/>
          <w:b/>
          <w:bCs/>
          <w:color w:val="auto"/>
          <w:sz w:val="32"/>
          <w:szCs w:val="32"/>
          <w:lang w:val="en-US" w:eastAsia="zh-CN"/>
        </w:rPr>
        <w:t>二是</w:t>
      </w:r>
      <w:r>
        <w:rPr>
          <w:rFonts w:hint="eastAsia" w:ascii="Times New Roman" w:hAnsi="Times New Roman" w:eastAsia="仿宋_GB2312" w:cs="Times New Roman"/>
          <w:color w:val="auto"/>
          <w:sz w:val="32"/>
          <w:szCs w:val="32"/>
          <w:lang w:val="en-US" w:eastAsia="zh-CN"/>
        </w:rPr>
        <w:t>依托高新区政府门户网站，将民生保障、征地拆迁、惠民补贴、安全生产等重点领域信息，全面、及时、准确地予以公开。</w:t>
      </w:r>
      <w:r>
        <w:rPr>
          <w:rFonts w:hint="eastAsia" w:ascii="Times New Roman" w:hAnsi="Times New Roman" w:eastAsia="仿宋_GB2312" w:cs="Times New Roman"/>
          <w:b/>
          <w:bCs/>
          <w:color w:val="auto"/>
          <w:sz w:val="32"/>
          <w:szCs w:val="32"/>
          <w:lang w:val="en-US" w:eastAsia="zh-CN"/>
        </w:rPr>
        <w:t>三是</w:t>
      </w:r>
      <w:r>
        <w:rPr>
          <w:rFonts w:hint="eastAsia" w:ascii="Times New Roman" w:hAnsi="Times New Roman" w:eastAsia="仿宋_GB2312" w:cs="Times New Roman"/>
          <w:color w:val="auto"/>
          <w:sz w:val="32"/>
          <w:szCs w:val="32"/>
          <w:lang w:val="en-US" w:eastAsia="zh-CN"/>
        </w:rPr>
        <w:t>以社区网格为基层治理单元，构建“街道—社区—网格”三级政务公开联络体系，将政务公开融入网格化服务管理。</w:t>
      </w:r>
    </w:p>
    <w:p w14:paraId="24994E4C">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40" w:lineRule="exact"/>
        <w:ind w:right="0" w:rightChars="0" w:firstLine="643" w:firstLineChars="200"/>
        <w:jc w:val="both"/>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（五）监督保障</w:t>
      </w:r>
    </w:p>
    <w:p w14:paraId="6DAF6F4B">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40" w:lineRule="exact"/>
        <w:ind w:right="0" w:rightChars="0" w:firstLine="643"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一是</w:t>
      </w:r>
      <w:r>
        <w:rPr>
          <w:rFonts w:hint="eastAsia" w:ascii="Times New Roman" w:hAnsi="Times New Roman" w:eastAsia="仿宋_GB2312" w:cs="Times New Roman"/>
          <w:color w:val="auto"/>
          <w:sz w:val="32"/>
          <w:szCs w:val="32"/>
          <w:lang w:val="en-US" w:eastAsia="zh-CN"/>
        </w:rPr>
        <w:t>定期组织政务公开工作人员开展专题培训和业务研讨，切实提升工作人员的业务能力与专业素养，推动街道政务公开工作向标准化、规范化方向迈进。</w:t>
      </w:r>
      <w:r>
        <w:rPr>
          <w:rFonts w:hint="eastAsia" w:ascii="Times New Roman" w:hAnsi="Times New Roman" w:eastAsia="仿宋_GB2312" w:cs="Times New Roman"/>
          <w:b/>
          <w:bCs/>
          <w:color w:val="auto"/>
          <w:sz w:val="32"/>
          <w:szCs w:val="32"/>
          <w:lang w:val="en-US" w:eastAsia="zh-CN"/>
        </w:rPr>
        <w:t>二是</w:t>
      </w:r>
      <w:r>
        <w:rPr>
          <w:rFonts w:hint="eastAsia" w:ascii="Times New Roman" w:hAnsi="Times New Roman" w:eastAsia="仿宋_GB2312" w:cs="Times New Roman"/>
          <w:color w:val="auto"/>
          <w:sz w:val="32"/>
          <w:szCs w:val="32"/>
          <w:lang w:val="en-US" w:eastAsia="zh-CN"/>
        </w:rPr>
        <w:t>完善政务公开日常监督管理体系，对信息公开的时效性、政策解读的精准性、等内容进行全面核查确保政务公开各项工作落到实处。</w:t>
      </w:r>
    </w:p>
    <w:p w14:paraId="4D1F1314">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60" w:lineRule="exact"/>
        <w:ind w:right="0" w:rightChars="0"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黑体" w:hAnsi="黑体" w:eastAsia="黑体" w:cs="黑体"/>
          <w:color w:val="auto"/>
          <w:sz w:val="32"/>
          <w:szCs w:val="32"/>
        </w:rPr>
        <w:t>二、行政机关主动公开政府信息情况</w:t>
      </w:r>
    </w:p>
    <w:tbl>
      <w:tblPr>
        <w:tblStyle w:val="5"/>
        <w:tblW w:w="8824" w:type="dxa"/>
        <w:tblInd w:w="0" w:type="dxa"/>
        <w:shd w:val="clear" w:color="auto" w:fill="auto"/>
        <w:tblLayout w:type="fixed"/>
        <w:tblCellMar>
          <w:top w:w="0" w:type="dxa"/>
          <w:left w:w="108" w:type="dxa"/>
          <w:bottom w:w="0" w:type="dxa"/>
          <w:right w:w="108" w:type="dxa"/>
        </w:tblCellMar>
      </w:tblPr>
      <w:tblGrid>
        <w:gridCol w:w="2206"/>
        <w:gridCol w:w="2206"/>
        <w:gridCol w:w="2206"/>
        <w:gridCol w:w="2206"/>
      </w:tblGrid>
      <w:tr w14:paraId="19677F1D">
        <w:tblPrEx>
          <w:shd w:val="clear" w:color="auto" w:fill="auto"/>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auto" w:fill="auto"/>
            <w:vAlign w:val="center"/>
          </w:tcPr>
          <w:p w14:paraId="54BD528D">
            <w:pPr>
              <w:widowControl/>
              <w:jc w:val="center"/>
              <w:rPr>
                <w:rFonts w:ascii="黑体" w:hAnsi="黑体" w:eastAsia="黑体" w:cs="宋体"/>
                <w:color w:val="auto"/>
                <w:kern w:val="0"/>
                <w:szCs w:val="21"/>
              </w:rPr>
            </w:pPr>
            <w:r>
              <w:rPr>
                <w:rFonts w:hint="eastAsia" w:ascii="黑体" w:hAnsi="黑体" w:eastAsia="黑体" w:cs="宋体"/>
                <w:color w:val="auto"/>
                <w:kern w:val="0"/>
                <w:szCs w:val="21"/>
              </w:rPr>
              <w:t>第二十条第（一）项</w:t>
            </w:r>
          </w:p>
        </w:tc>
      </w:tr>
      <w:tr w14:paraId="436DC661">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079DE2F5">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信息内容</w:t>
            </w:r>
          </w:p>
        </w:tc>
        <w:tc>
          <w:tcPr>
            <w:tcW w:w="2206" w:type="dxa"/>
            <w:tcBorders>
              <w:top w:val="nil"/>
              <w:left w:val="nil"/>
              <w:bottom w:val="single" w:color="auto" w:sz="8" w:space="0"/>
              <w:right w:val="single" w:color="auto" w:sz="8" w:space="0"/>
            </w:tcBorders>
            <w:shd w:val="clear" w:color="auto" w:fill="auto"/>
            <w:vAlign w:val="center"/>
          </w:tcPr>
          <w:p w14:paraId="0329A2FB">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本年制发件数</w:t>
            </w:r>
          </w:p>
        </w:tc>
        <w:tc>
          <w:tcPr>
            <w:tcW w:w="2206" w:type="dxa"/>
            <w:tcBorders>
              <w:top w:val="nil"/>
              <w:left w:val="nil"/>
              <w:bottom w:val="single" w:color="auto" w:sz="8" w:space="0"/>
              <w:right w:val="single" w:color="auto" w:sz="8" w:space="0"/>
            </w:tcBorders>
            <w:shd w:val="clear" w:color="auto" w:fill="auto"/>
            <w:vAlign w:val="center"/>
          </w:tcPr>
          <w:p w14:paraId="57D23742">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本年废止件数</w:t>
            </w:r>
          </w:p>
        </w:tc>
        <w:tc>
          <w:tcPr>
            <w:tcW w:w="2206" w:type="dxa"/>
            <w:tcBorders>
              <w:top w:val="nil"/>
              <w:left w:val="nil"/>
              <w:bottom w:val="single" w:color="auto" w:sz="8" w:space="0"/>
              <w:right w:val="single" w:color="auto" w:sz="8" w:space="0"/>
            </w:tcBorders>
            <w:shd w:val="clear" w:color="auto" w:fill="auto"/>
            <w:vAlign w:val="center"/>
          </w:tcPr>
          <w:p w14:paraId="04432977">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现行有效件数</w:t>
            </w:r>
          </w:p>
        </w:tc>
      </w:tr>
      <w:tr w14:paraId="4FC9F108">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29B66611">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规章</w:t>
            </w:r>
          </w:p>
        </w:tc>
        <w:tc>
          <w:tcPr>
            <w:tcW w:w="2206" w:type="dxa"/>
            <w:tcBorders>
              <w:top w:val="nil"/>
              <w:left w:val="nil"/>
              <w:bottom w:val="single" w:color="auto" w:sz="8" w:space="0"/>
              <w:right w:val="single" w:color="auto" w:sz="8" w:space="0"/>
            </w:tcBorders>
            <w:shd w:val="clear" w:color="auto" w:fill="auto"/>
            <w:vAlign w:val="center"/>
          </w:tcPr>
          <w:p w14:paraId="1B8BE0DE">
            <w:pPr>
              <w:widowControl/>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74877492">
            <w:pPr>
              <w:widowControl/>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3B4D8675">
            <w:pPr>
              <w:widowControl/>
              <w:jc w:val="center"/>
              <w:rPr>
                <w:rFonts w:hint="eastAsia" w:ascii="仿宋_GB2312" w:hAnsi="Calibri" w:eastAsia="仿宋_GB2312" w:cs="Calibri"/>
                <w:color w:val="auto"/>
                <w:kern w:val="0"/>
                <w:szCs w:val="21"/>
                <w:lang w:val="en-US" w:eastAsia="zh-CN"/>
              </w:rPr>
            </w:pPr>
            <w:r>
              <w:rPr>
                <w:rFonts w:hint="eastAsia" w:ascii="仿宋_GB2312" w:hAnsi="Calibri" w:eastAsia="仿宋_GB2312" w:cs="Calibri"/>
                <w:color w:val="auto"/>
                <w:kern w:val="0"/>
                <w:szCs w:val="21"/>
                <w:lang w:val="en-US" w:eastAsia="zh-CN"/>
              </w:rPr>
              <w:t>0</w:t>
            </w:r>
          </w:p>
        </w:tc>
      </w:tr>
      <w:tr w14:paraId="093C1BF3">
        <w:tblPrEx>
          <w:tblCellMar>
            <w:top w:w="0" w:type="dxa"/>
            <w:left w:w="108" w:type="dxa"/>
            <w:bottom w:w="0" w:type="dxa"/>
            <w:right w:w="108" w:type="dxa"/>
          </w:tblCellMar>
        </w:tblPrEx>
        <w:trPr>
          <w:trHeight w:val="95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5B0B1573">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行政规范性文件</w:t>
            </w:r>
          </w:p>
        </w:tc>
        <w:tc>
          <w:tcPr>
            <w:tcW w:w="2206" w:type="dxa"/>
            <w:tcBorders>
              <w:top w:val="nil"/>
              <w:left w:val="nil"/>
              <w:bottom w:val="single" w:color="auto" w:sz="8" w:space="0"/>
              <w:right w:val="single" w:color="auto" w:sz="8" w:space="0"/>
            </w:tcBorders>
            <w:shd w:val="clear" w:color="auto" w:fill="auto"/>
            <w:vAlign w:val="center"/>
          </w:tcPr>
          <w:p w14:paraId="7D42D64C">
            <w:pPr>
              <w:widowControl/>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4B1C8558">
            <w:pPr>
              <w:widowControl/>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759A2DAC">
            <w:pPr>
              <w:widowControl/>
              <w:jc w:val="center"/>
              <w:rPr>
                <w:rFonts w:hint="eastAsia" w:ascii="仿宋_GB2312" w:hAnsi="Calibri" w:eastAsia="仿宋_GB2312" w:cs="Calibri"/>
                <w:color w:val="auto"/>
                <w:kern w:val="0"/>
                <w:szCs w:val="21"/>
                <w:lang w:val="en-US" w:eastAsia="zh-CN"/>
              </w:rPr>
            </w:pPr>
            <w:r>
              <w:rPr>
                <w:rFonts w:hint="eastAsia" w:ascii="仿宋_GB2312" w:hAnsi="Calibri" w:eastAsia="仿宋_GB2312" w:cs="Calibri"/>
                <w:color w:val="auto"/>
                <w:kern w:val="0"/>
                <w:szCs w:val="21"/>
                <w:lang w:val="en-US" w:eastAsia="zh-CN"/>
              </w:rPr>
              <w:t>0</w:t>
            </w:r>
          </w:p>
        </w:tc>
      </w:tr>
      <w:tr w14:paraId="3CF9E9BE">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auto" w:fill="auto"/>
            <w:vAlign w:val="center"/>
          </w:tcPr>
          <w:p w14:paraId="5E6F77BD">
            <w:pPr>
              <w:widowControl/>
              <w:jc w:val="center"/>
              <w:rPr>
                <w:rFonts w:ascii="黑体" w:hAnsi="黑体" w:eastAsia="黑体" w:cs="宋体"/>
                <w:color w:val="auto"/>
                <w:kern w:val="0"/>
                <w:szCs w:val="21"/>
              </w:rPr>
            </w:pPr>
            <w:r>
              <w:rPr>
                <w:rFonts w:hint="eastAsia" w:ascii="黑体" w:hAnsi="黑体" w:eastAsia="黑体" w:cs="宋体"/>
                <w:color w:val="auto"/>
                <w:kern w:val="0"/>
                <w:szCs w:val="21"/>
              </w:rPr>
              <w:t>第二十条第（五）项</w:t>
            </w:r>
          </w:p>
        </w:tc>
      </w:tr>
      <w:tr w14:paraId="1B60231F">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21CAD73C">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53308BD4">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本年处理决定数量</w:t>
            </w:r>
          </w:p>
        </w:tc>
      </w:tr>
      <w:tr w14:paraId="10DF1FF9">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24B46B5E">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行政许可</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0F5D324F">
            <w:pPr>
              <w:widowControl/>
              <w:jc w:val="center"/>
              <w:rPr>
                <w:rFonts w:hint="eastAsia" w:ascii="仿宋_GB2312" w:hAnsi="Calibri" w:eastAsia="仿宋_GB2312" w:cs="Calibri"/>
                <w:color w:val="auto"/>
                <w:kern w:val="0"/>
                <w:szCs w:val="21"/>
                <w:lang w:val="en-US" w:eastAsia="zh-CN"/>
              </w:rPr>
            </w:pPr>
            <w:r>
              <w:rPr>
                <w:rFonts w:hint="eastAsia" w:ascii="仿宋_GB2312" w:hAnsi="Calibri" w:eastAsia="仿宋_GB2312" w:cs="Calibri"/>
                <w:color w:val="auto"/>
                <w:kern w:val="0"/>
                <w:szCs w:val="21"/>
                <w:lang w:val="en-US" w:eastAsia="zh-CN"/>
              </w:rPr>
              <w:t>0</w:t>
            </w:r>
          </w:p>
        </w:tc>
      </w:tr>
      <w:tr w14:paraId="281A194B">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auto" w:fill="auto"/>
            <w:vAlign w:val="center"/>
          </w:tcPr>
          <w:p w14:paraId="1AB9A97D">
            <w:pPr>
              <w:widowControl/>
              <w:jc w:val="center"/>
              <w:rPr>
                <w:rFonts w:ascii="黑体" w:hAnsi="黑体" w:eastAsia="黑体" w:cs="宋体"/>
                <w:color w:val="auto"/>
                <w:kern w:val="0"/>
                <w:szCs w:val="21"/>
              </w:rPr>
            </w:pPr>
            <w:r>
              <w:rPr>
                <w:rFonts w:hint="eastAsia" w:ascii="黑体" w:hAnsi="黑体" w:eastAsia="黑体" w:cs="宋体"/>
                <w:color w:val="auto"/>
                <w:kern w:val="0"/>
                <w:szCs w:val="21"/>
              </w:rPr>
              <w:t>第二十条第（六）项</w:t>
            </w:r>
          </w:p>
        </w:tc>
      </w:tr>
      <w:tr w14:paraId="1B80BC9E">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63C39ED8">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46AA289E">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本年处理决定数量</w:t>
            </w:r>
          </w:p>
        </w:tc>
      </w:tr>
      <w:tr w14:paraId="432F1F12">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4F718ED6">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行政处罚</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32A7A5EA">
            <w:pPr>
              <w:widowControl/>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r>
      <w:tr w14:paraId="277D826D">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4DB91A19">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行政强制</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53DED0D2">
            <w:pPr>
              <w:widowControl/>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r>
      <w:tr w14:paraId="0416A05C">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auto" w:fill="auto"/>
            <w:vAlign w:val="center"/>
          </w:tcPr>
          <w:p w14:paraId="47F061E5">
            <w:pPr>
              <w:widowControl/>
              <w:jc w:val="center"/>
              <w:rPr>
                <w:rFonts w:ascii="黑体" w:hAnsi="黑体" w:eastAsia="黑体" w:cs="宋体"/>
                <w:color w:val="auto"/>
                <w:kern w:val="0"/>
                <w:szCs w:val="21"/>
              </w:rPr>
            </w:pPr>
            <w:r>
              <w:rPr>
                <w:rFonts w:hint="eastAsia" w:ascii="黑体" w:hAnsi="黑体" w:eastAsia="黑体" w:cs="宋体"/>
                <w:color w:val="auto"/>
                <w:kern w:val="0"/>
                <w:szCs w:val="21"/>
              </w:rPr>
              <w:t>第二十条第（八）项</w:t>
            </w:r>
          </w:p>
        </w:tc>
      </w:tr>
      <w:tr w14:paraId="1E602933">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30A3048B">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5D434B90">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本年收费金额（单位：万元）</w:t>
            </w:r>
          </w:p>
        </w:tc>
      </w:tr>
      <w:tr w14:paraId="39CAA7C6">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39762BB7">
            <w:pPr>
              <w:widowControl/>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行政事业性收费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54042CC6">
            <w:pPr>
              <w:widowControl/>
              <w:jc w:val="center"/>
              <w:rPr>
                <w:rFonts w:hint="eastAsia" w:ascii="仿宋_GB2312" w:hAnsi="Calibri" w:eastAsia="仿宋_GB2312" w:cs="Calibri"/>
                <w:color w:val="auto"/>
                <w:kern w:val="0"/>
                <w:szCs w:val="21"/>
                <w:lang w:val="en-US" w:eastAsia="zh-CN"/>
              </w:rPr>
            </w:pPr>
            <w:r>
              <w:rPr>
                <w:rFonts w:hint="eastAsia" w:ascii="仿宋_GB2312" w:hAnsi="Calibri" w:eastAsia="仿宋_GB2312" w:cs="Calibri"/>
                <w:color w:val="auto"/>
                <w:kern w:val="0"/>
                <w:szCs w:val="21"/>
                <w:lang w:val="en-US" w:eastAsia="zh-CN"/>
              </w:rPr>
              <w:t>0</w:t>
            </w:r>
          </w:p>
        </w:tc>
      </w:tr>
    </w:tbl>
    <w:p w14:paraId="7D305512">
      <w:pPr>
        <w:pStyle w:val="4"/>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Autospacing="0" w:line="560" w:lineRule="exact"/>
        <w:ind w:right="0" w:rightChars="0"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行政机关收到和处理政府信息公开申请情况</w:t>
      </w:r>
    </w:p>
    <w:tbl>
      <w:tblPr>
        <w:tblStyle w:val="5"/>
        <w:tblW w:w="977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714"/>
      </w:tblGrid>
      <w:tr w14:paraId="0D0DE7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shd w:val="clear" w:color="auto" w:fill="auto"/>
            <w:tcMar>
              <w:left w:w="108" w:type="dxa"/>
              <w:right w:w="108" w:type="dxa"/>
            </w:tcMar>
            <w:vAlign w:val="center"/>
          </w:tcPr>
          <w:p w14:paraId="1632691A">
            <w:pPr>
              <w:widowControl/>
              <w:jc w:val="center"/>
              <w:rPr>
                <w:rFonts w:ascii="楷体_GB2312" w:hAnsi="黑体" w:eastAsia="楷体_GB2312"/>
                <w:color w:val="auto"/>
                <w:kern w:val="0"/>
                <w:szCs w:val="21"/>
              </w:rPr>
            </w:pPr>
            <w:r>
              <w:rPr>
                <w:rFonts w:hint="eastAsia" w:ascii="楷体_GB2312" w:hAnsi="黑体" w:eastAsia="楷体_GB2312"/>
                <w:color w:val="auto"/>
                <w:kern w:val="0"/>
                <w:szCs w:val="21"/>
              </w:rPr>
              <w:t>（本列数据的勾稽关系为：第一项加第二项之和，</w:t>
            </w:r>
          </w:p>
          <w:p w14:paraId="248CDDB7">
            <w:pPr>
              <w:widowControl/>
              <w:jc w:val="center"/>
              <w:rPr>
                <w:rFonts w:ascii="仿宋_GB2312" w:hAnsi="Times New Roman" w:eastAsia="仿宋_GB2312"/>
                <w:color w:val="auto"/>
                <w:szCs w:val="21"/>
              </w:rPr>
            </w:pPr>
            <w:r>
              <w:rPr>
                <w:rFonts w:hint="eastAsia" w:ascii="楷体_GB2312" w:hAnsi="黑体" w:eastAsia="楷体_GB2312"/>
                <w:color w:val="auto"/>
                <w:kern w:val="0"/>
                <w:szCs w:val="21"/>
              </w:rPr>
              <w:t>等于第三项加第四项之和）</w:t>
            </w:r>
          </w:p>
        </w:tc>
        <w:tc>
          <w:tcPr>
            <w:tcW w:w="4683" w:type="dxa"/>
            <w:gridSpan w:val="7"/>
            <w:shd w:val="clear" w:color="auto" w:fill="auto"/>
            <w:tcMar>
              <w:left w:w="108" w:type="dxa"/>
              <w:right w:w="108" w:type="dxa"/>
            </w:tcMar>
            <w:vAlign w:val="center"/>
          </w:tcPr>
          <w:p w14:paraId="3799B613">
            <w:pPr>
              <w:widowControl/>
              <w:spacing w:line="320" w:lineRule="exact"/>
              <w:jc w:val="center"/>
              <w:rPr>
                <w:rFonts w:ascii="黑体" w:hAnsi="黑体" w:eastAsia="黑体"/>
                <w:color w:val="auto"/>
                <w:szCs w:val="21"/>
              </w:rPr>
            </w:pPr>
            <w:r>
              <w:rPr>
                <w:rFonts w:hint="eastAsia" w:ascii="黑体" w:hAnsi="黑体" w:eastAsia="黑体"/>
                <w:color w:val="auto"/>
                <w:kern w:val="0"/>
                <w:szCs w:val="21"/>
              </w:rPr>
              <w:t>申请人情况</w:t>
            </w:r>
          </w:p>
        </w:tc>
      </w:tr>
      <w:tr w14:paraId="054109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shd w:val="clear" w:color="auto" w:fill="auto"/>
            <w:tcMar>
              <w:left w:w="108" w:type="dxa"/>
              <w:right w:w="108" w:type="dxa"/>
            </w:tcMar>
            <w:vAlign w:val="center"/>
          </w:tcPr>
          <w:p w14:paraId="463B9DDC">
            <w:pPr>
              <w:jc w:val="center"/>
              <w:rPr>
                <w:rFonts w:ascii="仿宋_GB2312" w:hAnsi="Times New Roman" w:eastAsia="仿宋_GB2312"/>
                <w:color w:val="auto"/>
                <w:szCs w:val="21"/>
              </w:rPr>
            </w:pPr>
          </w:p>
        </w:tc>
        <w:tc>
          <w:tcPr>
            <w:tcW w:w="829" w:type="dxa"/>
            <w:vMerge w:val="restart"/>
            <w:shd w:val="clear" w:color="auto" w:fill="auto"/>
            <w:tcMar>
              <w:left w:w="108" w:type="dxa"/>
              <w:right w:w="108" w:type="dxa"/>
            </w:tcMar>
            <w:vAlign w:val="center"/>
          </w:tcPr>
          <w:p w14:paraId="1D145C04">
            <w:pPr>
              <w:widowControl/>
              <w:jc w:val="center"/>
              <w:rPr>
                <w:rFonts w:ascii="黑体" w:hAnsi="黑体" w:eastAsia="黑体"/>
                <w:color w:val="auto"/>
                <w:szCs w:val="21"/>
              </w:rPr>
            </w:pPr>
            <w:r>
              <w:rPr>
                <w:rFonts w:hint="eastAsia" w:ascii="黑体" w:hAnsi="黑体" w:eastAsia="黑体"/>
                <w:color w:val="auto"/>
                <w:kern w:val="0"/>
                <w:szCs w:val="21"/>
              </w:rPr>
              <w:t>自然人</w:t>
            </w:r>
          </w:p>
        </w:tc>
        <w:tc>
          <w:tcPr>
            <w:tcW w:w="3140" w:type="dxa"/>
            <w:gridSpan w:val="5"/>
            <w:shd w:val="clear" w:color="auto" w:fill="auto"/>
            <w:tcMar>
              <w:left w:w="108" w:type="dxa"/>
              <w:right w:w="108" w:type="dxa"/>
            </w:tcMar>
            <w:vAlign w:val="center"/>
          </w:tcPr>
          <w:p w14:paraId="2E7BF94A">
            <w:pPr>
              <w:widowControl/>
              <w:spacing w:line="320" w:lineRule="exact"/>
              <w:jc w:val="center"/>
              <w:rPr>
                <w:rFonts w:ascii="黑体" w:hAnsi="黑体" w:eastAsia="黑体"/>
                <w:color w:val="auto"/>
                <w:szCs w:val="21"/>
              </w:rPr>
            </w:pPr>
            <w:r>
              <w:rPr>
                <w:rFonts w:hint="eastAsia" w:ascii="黑体" w:hAnsi="黑体" w:eastAsia="黑体"/>
                <w:color w:val="auto"/>
                <w:kern w:val="0"/>
                <w:szCs w:val="21"/>
              </w:rPr>
              <w:t>法人或其他组织</w:t>
            </w:r>
          </w:p>
        </w:tc>
        <w:tc>
          <w:tcPr>
            <w:tcW w:w="714" w:type="dxa"/>
            <w:vMerge w:val="restart"/>
            <w:shd w:val="clear" w:color="auto" w:fill="auto"/>
            <w:tcMar>
              <w:left w:w="108" w:type="dxa"/>
              <w:right w:w="108" w:type="dxa"/>
            </w:tcMar>
            <w:vAlign w:val="center"/>
          </w:tcPr>
          <w:p w14:paraId="5666046B">
            <w:pPr>
              <w:widowControl/>
              <w:jc w:val="center"/>
              <w:rPr>
                <w:rFonts w:ascii="黑体" w:hAnsi="黑体" w:eastAsia="黑体"/>
                <w:color w:val="auto"/>
                <w:szCs w:val="21"/>
              </w:rPr>
            </w:pPr>
            <w:r>
              <w:rPr>
                <w:rFonts w:hint="eastAsia" w:ascii="黑体" w:hAnsi="黑体" w:eastAsia="黑体"/>
                <w:color w:val="auto"/>
                <w:kern w:val="0"/>
                <w:szCs w:val="21"/>
              </w:rPr>
              <w:t>总计</w:t>
            </w:r>
          </w:p>
        </w:tc>
      </w:tr>
      <w:tr w14:paraId="67FC5E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14:paraId="59390267">
            <w:pPr>
              <w:jc w:val="center"/>
              <w:rPr>
                <w:rFonts w:ascii="仿宋_GB2312" w:hAnsi="Times New Roman" w:eastAsia="仿宋_GB2312"/>
                <w:color w:val="auto"/>
                <w:szCs w:val="21"/>
              </w:rPr>
            </w:pPr>
          </w:p>
        </w:tc>
        <w:tc>
          <w:tcPr>
            <w:tcW w:w="829" w:type="dxa"/>
            <w:vMerge w:val="continue"/>
            <w:shd w:val="clear" w:color="auto" w:fill="auto"/>
            <w:tcMar>
              <w:left w:w="108" w:type="dxa"/>
              <w:right w:w="108" w:type="dxa"/>
            </w:tcMar>
            <w:vAlign w:val="center"/>
          </w:tcPr>
          <w:p w14:paraId="7D05C2E0">
            <w:pPr>
              <w:jc w:val="center"/>
              <w:rPr>
                <w:rFonts w:ascii="黑体" w:hAnsi="黑体" w:eastAsia="黑体"/>
                <w:color w:val="auto"/>
                <w:szCs w:val="21"/>
              </w:rPr>
            </w:pPr>
          </w:p>
        </w:tc>
        <w:tc>
          <w:tcPr>
            <w:tcW w:w="567" w:type="dxa"/>
            <w:shd w:val="clear" w:color="auto" w:fill="auto"/>
            <w:tcMar>
              <w:left w:w="108" w:type="dxa"/>
              <w:right w:w="108" w:type="dxa"/>
            </w:tcMar>
            <w:vAlign w:val="center"/>
          </w:tcPr>
          <w:p w14:paraId="5E963D32">
            <w:pPr>
              <w:widowControl/>
              <w:spacing w:line="320" w:lineRule="exact"/>
              <w:ind w:left="-106" w:leftChars="-51" w:right="-107" w:rightChars="-51" w:hanging="1"/>
              <w:jc w:val="center"/>
              <w:rPr>
                <w:rFonts w:ascii="黑体" w:hAnsi="黑体" w:eastAsia="黑体"/>
                <w:color w:val="auto"/>
                <w:szCs w:val="21"/>
              </w:rPr>
            </w:pPr>
            <w:r>
              <w:rPr>
                <w:rFonts w:hint="eastAsia" w:ascii="黑体" w:hAnsi="黑体" w:eastAsia="黑体"/>
                <w:color w:val="auto"/>
                <w:kern w:val="0"/>
                <w:szCs w:val="21"/>
              </w:rPr>
              <w:t>商业企业</w:t>
            </w:r>
          </w:p>
        </w:tc>
        <w:tc>
          <w:tcPr>
            <w:tcW w:w="567" w:type="dxa"/>
            <w:shd w:val="clear" w:color="auto" w:fill="auto"/>
            <w:tcMar>
              <w:left w:w="108" w:type="dxa"/>
              <w:right w:w="108" w:type="dxa"/>
            </w:tcMar>
            <w:vAlign w:val="center"/>
          </w:tcPr>
          <w:p w14:paraId="3C276634">
            <w:pPr>
              <w:widowControl/>
              <w:spacing w:line="320" w:lineRule="exact"/>
              <w:ind w:left="-107" w:leftChars="-51" w:right="-107" w:rightChars="-51"/>
              <w:jc w:val="center"/>
              <w:rPr>
                <w:rFonts w:ascii="黑体" w:hAnsi="黑体" w:eastAsia="黑体"/>
                <w:color w:val="auto"/>
                <w:szCs w:val="21"/>
              </w:rPr>
            </w:pPr>
            <w:r>
              <w:rPr>
                <w:rFonts w:hint="eastAsia" w:ascii="黑体" w:hAnsi="黑体" w:eastAsia="黑体"/>
                <w:color w:val="auto"/>
                <w:kern w:val="0"/>
                <w:szCs w:val="21"/>
              </w:rPr>
              <w:t>科研机构</w:t>
            </w:r>
          </w:p>
        </w:tc>
        <w:tc>
          <w:tcPr>
            <w:tcW w:w="731" w:type="dxa"/>
            <w:shd w:val="clear" w:color="auto" w:fill="auto"/>
            <w:tcMar>
              <w:left w:w="108" w:type="dxa"/>
              <w:right w:w="108" w:type="dxa"/>
            </w:tcMar>
            <w:vAlign w:val="center"/>
          </w:tcPr>
          <w:p w14:paraId="502A9272">
            <w:pPr>
              <w:widowControl/>
              <w:spacing w:line="320" w:lineRule="exact"/>
              <w:ind w:left="-107" w:leftChars="-51" w:right="-107" w:rightChars="-51"/>
              <w:jc w:val="center"/>
              <w:rPr>
                <w:rFonts w:ascii="黑体" w:hAnsi="黑体" w:eastAsia="黑体"/>
                <w:color w:val="auto"/>
                <w:szCs w:val="21"/>
              </w:rPr>
            </w:pPr>
            <w:r>
              <w:rPr>
                <w:rFonts w:hint="eastAsia" w:ascii="黑体" w:hAnsi="黑体" w:eastAsia="黑体"/>
                <w:color w:val="auto"/>
                <w:kern w:val="0"/>
                <w:szCs w:val="21"/>
              </w:rPr>
              <w:t>社会公益组织</w:t>
            </w:r>
          </w:p>
        </w:tc>
        <w:tc>
          <w:tcPr>
            <w:tcW w:w="708" w:type="dxa"/>
            <w:shd w:val="clear" w:color="auto" w:fill="auto"/>
            <w:tcMar>
              <w:left w:w="108" w:type="dxa"/>
              <w:right w:w="108" w:type="dxa"/>
            </w:tcMar>
            <w:vAlign w:val="center"/>
          </w:tcPr>
          <w:p w14:paraId="607BB37A">
            <w:pPr>
              <w:widowControl/>
              <w:spacing w:line="320" w:lineRule="exact"/>
              <w:ind w:left="-106" w:leftChars="-51" w:right="-107" w:rightChars="-51" w:hanging="1"/>
              <w:jc w:val="center"/>
              <w:rPr>
                <w:rFonts w:ascii="黑体" w:hAnsi="黑体" w:eastAsia="黑体"/>
                <w:color w:val="auto"/>
                <w:szCs w:val="21"/>
              </w:rPr>
            </w:pPr>
            <w:r>
              <w:rPr>
                <w:rFonts w:hint="eastAsia" w:ascii="黑体" w:hAnsi="黑体" w:eastAsia="黑体"/>
                <w:color w:val="auto"/>
                <w:kern w:val="0"/>
                <w:szCs w:val="21"/>
              </w:rPr>
              <w:t>法律服务机构</w:t>
            </w:r>
          </w:p>
        </w:tc>
        <w:tc>
          <w:tcPr>
            <w:tcW w:w="567" w:type="dxa"/>
            <w:shd w:val="clear" w:color="auto" w:fill="auto"/>
            <w:tcMar>
              <w:left w:w="108" w:type="dxa"/>
              <w:right w:w="108" w:type="dxa"/>
            </w:tcMar>
            <w:vAlign w:val="center"/>
          </w:tcPr>
          <w:p w14:paraId="5A0B7D6C">
            <w:pPr>
              <w:widowControl/>
              <w:spacing w:line="360" w:lineRule="exact"/>
              <w:ind w:left="-63" w:leftChars="-30" w:right="-134" w:rightChars="-64"/>
              <w:jc w:val="center"/>
              <w:rPr>
                <w:rFonts w:ascii="黑体" w:hAnsi="黑体" w:eastAsia="黑体"/>
                <w:color w:val="auto"/>
                <w:szCs w:val="21"/>
              </w:rPr>
            </w:pPr>
            <w:r>
              <w:rPr>
                <w:rFonts w:hint="eastAsia" w:ascii="黑体" w:hAnsi="黑体" w:eastAsia="黑体"/>
                <w:color w:val="auto"/>
                <w:kern w:val="0"/>
                <w:szCs w:val="21"/>
              </w:rPr>
              <w:t>其他</w:t>
            </w:r>
          </w:p>
        </w:tc>
        <w:tc>
          <w:tcPr>
            <w:tcW w:w="714" w:type="dxa"/>
            <w:vMerge w:val="continue"/>
            <w:shd w:val="clear" w:color="auto" w:fill="auto"/>
            <w:tcMar>
              <w:left w:w="108" w:type="dxa"/>
              <w:right w:w="108" w:type="dxa"/>
            </w:tcMar>
            <w:vAlign w:val="center"/>
          </w:tcPr>
          <w:p w14:paraId="74E4BFC8">
            <w:pPr>
              <w:jc w:val="center"/>
              <w:rPr>
                <w:rFonts w:ascii="仿宋_GB2312" w:hAnsi="Times New Roman" w:eastAsia="仿宋_GB2312"/>
                <w:color w:val="auto"/>
                <w:szCs w:val="21"/>
              </w:rPr>
            </w:pPr>
          </w:p>
        </w:tc>
      </w:tr>
      <w:tr w14:paraId="5E520A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14:paraId="6D4ACBFD">
            <w:pPr>
              <w:widowControl/>
              <w:rPr>
                <w:rFonts w:ascii="黑体" w:hAnsi="黑体" w:eastAsia="黑体"/>
                <w:color w:val="auto"/>
                <w:szCs w:val="21"/>
              </w:rPr>
            </w:pPr>
            <w:r>
              <w:rPr>
                <w:rFonts w:hint="eastAsia" w:ascii="黑体" w:hAnsi="黑体" w:eastAsia="黑体"/>
                <w:color w:val="auto"/>
                <w:kern w:val="0"/>
                <w:szCs w:val="21"/>
              </w:rPr>
              <w:t>一、</w:t>
            </w:r>
            <w:bookmarkStart w:id="0" w:name="_Hlk66973412"/>
            <w:r>
              <w:rPr>
                <w:rFonts w:hint="eastAsia" w:ascii="黑体" w:hAnsi="黑体" w:eastAsia="黑体"/>
                <w:color w:val="auto"/>
                <w:kern w:val="0"/>
                <w:szCs w:val="21"/>
              </w:rPr>
              <w:t>本年新收政府信息公开申请数量</w:t>
            </w:r>
            <w:bookmarkEnd w:id="0"/>
          </w:p>
        </w:tc>
        <w:tc>
          <w:tcPr>
            <w:tcW w:w="829" w:type="dxa"/>
            <w:shd w:val="clear" w:color="auto" w:fill="auto"/>
            <w:tcMar>
              <w:left w:w="108" w:type="dxa"/>
              <w:right w:w="108" w:type="dxa"/>
            </w:tcMar>
            <w:vAlign w:val="center"/>
          </w:tcPr>
          <w:p w14:paraId="707FFE2B">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3</w:t>
            </w:r>
          </w:p>
        </w:tc>
        <w:tc>
          <w:tcPr>
            <w:tcW w:w="567" w:type="dxa"/>
            <w:shd w:val="clear" w:color="auto" w:fill="auto"/>
            <w:tcMar>
              <w:left w:w="108" w:type="dxa"/>
              <w:right w:w="108" w:type="dxa"/>
            </w:tcMar>
            <w:vAlign w:val="center"/>
          </w:tcPr>
          <w:p w14:paraId="35D0E7B5">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51D2C738">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31" w:type="dxa"/>
            <w:shd w:val="clear" w:color="auto" w:fill="auto"/>
            <w:tcMar>
              <w:left w:w="108" w:type="dxa"/>
              <w:right w:w="108" w:type="dxa"/>
            </w:tcMar>
            <w:vAlign w:val="center"/>
          </w:tcPr>
          <w:p w14:paraId="431814C9">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08" w:type="dxa"/>
            <w:shd w:val="clear" w:color="auto" w:fill="auto"/>
            <w:tcMar>
              <w:left w:w="108" w:type="dxa"/>
              <w:right w:w="108" w:type="dxa"/>
            </w:tcMar>
            <w:vAlign w:val="center"/>
          </w:tcPr>
          <w:p w14:paraId="4443FA8B">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19307A57">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14" w:type="dxa"/>
            <w:shd w:val="clear" w:color="auto" w:fill="auto"/>
            <w:tcMar>
              <w:left w:w="108" w:type="dxa"/>
              <w:right w:w="108" w:type="dxa"/>
            </w:tcMar>
            <w:vAlign w:val="center"/>
          </w:tcPr>
          <w:p w14:paraId="007CC598">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3</w:t>
            </w:r>
          </w:p>
        </w:tc>
      </w:tr>
      <w:tr w14:paraId="18467A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14:paraId="409BBB62">
            <w:pPr>
              <w:widowControl/>
              <w:rPr>
                <w:rFonts w:ascii="黑体" w:hAnsi="黑体" w:eastAsia="黑体"/>
                <w:color w:val="auto"/>
                <w:szCs w:val="21"/>
              </w:rPr>
            </w:pPr>
            <w:r>
              <w:rPr>
                <w:rFonts w:hint="eastAsia" w:ascii="黑体" w:hAnsi="黑体" w:eastAsia="黑体"/>
                <w:color w:val="auto"/>
                <w:kern w:val="0"/>
                <w:szCs w:val="21"/>
              </w:rPr>
              <w:t>二、上年结转政府信息公开申请数量</w:t>
            </w:r>
          </w:p>
        </w:tc>
        <w:tc>
          <w:tcPr>
            <w:tcW w:w="829" w:type="dxa"/>
            <w:shd w:val="clear" w:color="auto" w:fill="auto"/>
            <w:tcMar>
              <w:left w:w="108" w:type="dxa"/>
              <w:right w:w="108" w:type="dxa"/>
            </w:tcMar>
            <w:vAlign w:val="center"/>
          </w:tcPr>
          <w:p w14:paraId="70FF0992">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0E5E1046">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31932EC6">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31" w:type="dxa"/>
            <w:shd w:val="clear" w:color="auto" w:fill="auto"/>
            <w:tcMar>
              <w:left w:w="108" w:type="dxa"/>
              <w:right w:w="108" w:type="dxa"/>
            </w:tcMar>
            <w:vAlign w:val="center"/>
          </w:tcPr>
          <w:p w14:paraId="61E56AA6">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08" w:type="dxa"/>
            <w:shd w:val="clear" w:color="auto" w:fill="auto"/>
            <w:tcMar>
              <w:left w:w="108" w:type="dxa"/>
              <w:right w:w="108" w:type="dxa"/>
            </w:tcMar>
            <w:vAlign w:val="center"/>
          </w:tcPr>
          <w:p w14:paraId="1C44036C">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4CA3EBCC">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14" w:type="dxa"/>
            <w:shd w:val="clear" w:color="auto" w:fill="auto"/>
            <w:tcMar>
              <w:left w:w="108" w:type="dxa"/>
              <w:right w:w="108" w:type="dxa"/>
            </w:tcMar>
            <w:vAlign w:val="center"/>
          </w:tcPr>
          <w:p w14:paraId="372E360C">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r>
      <w:tr w14:paraId="6D5830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14:paraId="56EF27C6">
            <w:pPr>
              <w:widowControl/>
              <w:spacing w:after="180"/>
              <w:rPr>
                <w:rFonts w:ascii="黑体" w:hAnsi="黑体" w:eastAsia="黑体"/>
                <w:color w:val="auto"/>
                <w:szCs w:val="21"/>
              </w:rPr>
            </w:pPr>
            <w:r>
              <w:rPr>
                <w:rFonts w:hint="eastAsia" w:ascii="黑体" w:hAnsi="黑体" w:eastAsia="黑体"/>
                <w:color w:val="auto"/>
                <w:kern w:val="0"/>
                <w:szCs w:val="21"/>
              </w:rPr>
              <w:t>三、本年度办理结果</w:t>
            </w:r>
          </w:p>
        </w:tc>
        <w:tc>
          <w:tcPr>
            <w:tcW w:w="4677" w:type="dxa"/>
            <w:gridSpan w:val="2"/>
            <w:shd w:val="clear" w:color="auto" w:fill="auto"/>
            <w:tcMar>
              <w:left w:w="108" w:type="dxa"/>
              <w:right w:w="108" w:type="dxa"/>
            </w:tcMar>
            <w:vAlign w:val="center"/>
          </w:tcPr>
          <w:p w14:paraId="715CF26F">
            <w:pPr>
              <w:widowControl/>
              <w:rPr>
                <w:rFonts w:ascii="黑体" w:hAnsi="黑体" w:eastAsia="黑体"/>
                <w:color w:val="auto"/>
                <w:szCs w:val="21"/>
              </w:rPr>
            </w:pPr>
            <w:r>
              <w:rPr>
                <w:rFonts w:hint="eastAsia" w:ascii="黑体" w:hAnsi="黑体" w:eastAsia="黑体"/>
                <w:color w:val="auto"/>
                <w:kern w:val="0"/>
                <w:szCs w:val="21"/>
              </w:rPr>
              <w:t>（一）予以公开</w:t>
            </w:r>
          </w:p>
        </w:tc>
        <w:tc>
          <w:tcPr>
            <w:tcW w:w="829" w:type="dxa"/>
            <w:shd w:val="clear" w:color="auto" w:fill="auto"/>
            <w:tcMar>
              <w:left w:w="108" w:type="dxa"/>
              <w:right w:w="108" w:type="dxa"/>
            </w:tcMar>
            <w:vAlign w:val="center"/>
          </w:tcPr>
          <w:p w14:paraId="486F1402">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1</w:t>
            </w:r>
          </w:p>
        </w:tc>
        <w:tc>
          <w:tcPr>
            <w:tcW w:w="567" w:type="dxa"/>
            <w:shd w:val="clear" w:color="auto" w:fill="auto"/>
            <w:tcMar>
              <w:left w:w="108" w:type="dxa"/>
              <w:right w:w="108" w:type="dxa"/>
            </w:tcMar>
            <w:vAlign w:val="center"/>
          </w:tcPr>
          <w:p w14:paraId="5BAB3923">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2234A037">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31" w:type="dxa"/>
            <w:shd w:val="clear" w:color="auto" w:fill="auto"/>
            <w:tcMar>
              <w:left w:w="108" w:type="dxa"/>
              <w:right w:w="108" w:type="dxa"/>
            </w:tcMar>
            <w:vAlign w:val="center"/>
          </w:tcPr>
          <w:p w14:paraId="6E1DEA55">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8" w:type="dxa"/>
            <w:shd w:val="clear" w:color="auto" w:fill="auto"/>
            <w:tcMar>
              <w:left w:w="108" w:type="dxa"/>
              <w:right w:w="108" w:type="dxa"/>
            </w:tcMar>
            <w:vAlign w:val="center"/>
          </w:tcPr>
          <w:p w14:paraId="322AA9B5">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0D14DD77">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14" w:type="dxa"/>
            <w:shd w:val="clear" w:color="auto" w:fill="auto"/>
            <w:tcMar>
              <w:left w:w="108" w:type="dxa"/>
              <w:right w:w="108" w:type="dxa"/>
            </w:tcMar>
            <w:vAlign w:val="center"/>
          </w:tcPr>
          <w:p w14:paraId="06C4104D">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1</w:t>
            </w:r>
          </w:p>
        </w:tc>
      </w:tr>
      <w:tr w14:paraId="2B802D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717F67DF">
            <w:pPr>
              <w:rPr>
                <w:rFonts w:ascii="黑体" w:hAnsi="黑体" w:eastAsia="黑体"/>
                <w:color w:val="auto"/>
                <w:szCs w:val="21"/>
              </w:rPr>
            </w:pPr>
          </w:p>
        </w:tc>
        <w:tc>
          <w:tcPr>
            <w:tcW w:w="4677" w:type="dxa"/>
            <w:gridSpan w:val="2"/>
            <w:shd w:val="clear" w:color="auto" w:fill="auto"/>
            <w:tcMar>
              <w:left w:w="108" w:type="dxa"/>
              <w:right w:w="108" w:type="dxa"/>
            </w:tcMar>
            <w:vAlign w:val="center"/>
          </w:tcPr>
          <w:p w14:paraId="277936B4">
            <w:pPr>
              <w:widowControl/>
              <w:rPr>
                <w:rFonts w:ascii="黑体" w:hAnsi="黑体" w:eastAsia="黑体"/>
                <w:color w:val="auto"/>
                <w:szCs w:val="21"/>
              </w:rPr>
            </w:pPr>
            <w:r>
              <w:rPr>
                <w:rFonts w:hint="eastAsia" w:ascii="黑体" w:hAnsi="黑体" w:eastAsia="黑体"/>
                <w:color w:val="auto"/>
                <w:kern w:val="0"/>
                <w:szCs w:val="21"/>
              </w:rPr>
              <w:t>（二）部分公开（</w:t>
            </w:r>
            <w:bookmarkStart w:id="1" w:name="_Hlk66973981"/>
            <w:r>
              <w:rPr>
                <w:rFonts w:hint="eastAsia" w:ascii="黑体" w:hAnsi="黑体" w:eastAsia="黑体"/>
                <w:color w:val="auto"/>
                <w:kern w:val="0"/>
                <w:szCs w:val="21"/>
              </w:rPr>
              <w:t>区分处理的，只计这一情形，不计其他情形</w:t>
            </w:r>
            <w:bookmarkEnd w:id="1"/>
            <w:r>
              <w:rPr>
                <w:rFonts w:hint="eastAsia" w:ascii="黑体" w:hAnsi="黑体" w:eastAsia="黑体"/>
                <w:color w:val="auto"/>
                <w:kern w:val="0"/>
                <w:szCs w:val="21"/>
              </w:rPr>
              <w:t>）</w:t>
            </w:r>
          </w:p>
        </w:tc>
        <w:tc>
          <w:tcPr>
            <w:tcW w:w="829" w:type="dxa"/>
            <w:shd w:val="clear" w:color="auto" w:fill="auto"/>
            <w:tcMar>
              <w:left w:w="108" w:type="dxa"/>
              <w:right w:w="108" w:type="dxa"/>
            </w:tcMar>
            <w:vAlign w:val="center"/>
          </w:tcPr>
          <w:p w14:paraId="5396BA4A">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1180C8E3">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59D31A62">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31" w:type="dxa"/>
            <w:shd w:val="clear" w:color="auto" w:fill="auto"/>
            <w:tcMar>
              <w:left w:w="108" w:type="dxa"/>
              <w:right w:w="108" w:type="dxa"/>
            </w:tcMar>
            <w:vAlign w:val="center"/>
          </w:tcPr>
          <w:p w14:paraId="59D71BEC">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8" w:type="dxa"/>
            <w:shd w:val="clear" w:color="auto" w:fill="auto"/>
            <w:tcMar>
              <w:left w:w="108" w:type="dxa"/>
              <w:right w:w="108" w:type="dxa"/>
            </w:tcMar>
            <w:vAlign w:val="center"/>
          </w:tcPr>
          <w:p w14:paraId="4C54632A">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4A5D895B">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14" w:type="dxa"/>
            <w:shd w:val="clear" w:color="auto" w:fill="auto"/>
            <w:tcMar>
              <w:left w:w="108" w:type="dxa"/>
              <w:right w:w="108" w:type="dxa"/>
            </w:tcMar>
            <w:vAlign w:val="center"/>
          </w:tcPr>
          <w:p w14:paraId="31234185">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14:paraId="1D12F6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78F377B5">
            <w:pPr>
              <w:rPr>
                <w:rFonts w:ascii="黑体" w:hAnsi="黑体" w:eastAsia="黑体"/>
                <w:color w:val="auto"/>
                <w:szCs w:val="21"/>
              </w:rPr>
            </w:pPr>
          </w:p>
        </w:tc>
        <w:tc>
          <w:tcPr>
            <w:tcW w:w="1701" w:type="dxa"/>
            <w:vMerge w:val="restart"/>
            <w:shd w:val="clear" w:color="auto" w:fill="auto"/>
            <w:tcMar>
              <w:left w:w="108" w:type="dxa"/>
              <w:right w:w="108" w:type="dxa"/>
            </w:tcMar>
            <w:vAlign w:val="center"/>
          </w:tcPr>
          <w:p w14:paraId="4C89662D">
            <w:pPr>
              <w:widowControl/>
              <w:spacing w:line="200" w:lineRule="exact"/>
              <w:ind w:left="-107" w:leftChars="-51"/>
              <w:rPr>
                <w:rFonts w:ascii="黑体" w:hAnsi="黑体" w:eastAsia="黑体"/>
                <w:color w:val="auto"/>
                <w:szCs w:val="21"/>
              </w:rPr>
            </w:pPr>
            <w:r>
              <w:rPr>
                <w:rFonts w:hint="eastAsia" w:ascii="黑体" w:hAnsi="黑体" w:eastAsia="黑体"/>
                <w:color w:val="auto"/>
                <w:kern w:val="0"/>
                <w:szCs w:val="21"/>
              </w:rPr>
              <w:t>（三）不予公开</w:t>
            </w:r>
          </w:p>
        </w:tc>
        <w:tc>
          <w:tcPr>
            <w:tcW w:w="2976" w:type="dxa"/>
            <w:shd w:val="clear" w:color="auto" w:fill="auto"/>
            <w:tcMar>
              <w:left w:w="108" w:type="dxa"/>
              <w:right w:w="108" w:type="dxa"/>
            </w:tcMar>
            <w:vAlign w:val="center"/>
          </w:tcPr>
          <w:p w14:paraId="411478D9">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1.属于国家秘密</w:t>
            </w:r>
          </w:p>
        </w:tc>
        <w:tc>
          <w:tcPr>
            <w:tcW w:w="829" w:type="dxa"/>
            <w:shd w:val="clear" w:color="auto" w:fill="auto"/>
            <w:tcMar>
              <w:left w:w="108" w:type="dxa"/>
              <w:right w:w="108" w:type="dxa"/>
            </w:tcMar>
            <w:vAlign w:val="center"/>
          </w:tcPr>
          <w:p w14:paraId="05458CB5">
            <w:pPr>
              <w:widowControl/>
              <w:spacing w:after="180" w:line="200" w:lineRule="exact"/>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26C9B0A9">
            <w:pPr>
              <w:widowControl/>
              <w:spacing w:after="180" w:line="200" w:lineRule="exact"/>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34834C60">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31" w:type="dxa"/>
            <w:shd w:val="clear" w:color="auto" w:fill="auto"/>
            <w:tcMar>
              <w:left w:w="108" w:type="dxa"/>
              <w:right w:w="108" w:type="dxa"/>
            </w:tcMar>
            <w:vAlign w:val="center"/>
          </w:tcPr>
          <w:p w14:paraId="14861907">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8" w:type="dxa"/>
            <w:shd w:val="clear" w:color="auto" w:fill="auto"/>
            <w:tcMar>
              <w:left w:w="108" w:type="dxa"/>
              <w:right w:w="108" w:type="dxa"/>
            </w:tcMar>
            <w:vAlign w:val="center"/>
          </w:tcPr>
          <w:p w14:paraId="1CE57FE1">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232CCE7E">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14" w:type="dxa"/>
            <w:shd w:val="clear" w:color="auto" w:fill="auto"/>
            <w:tcMar>
              <w:left w:w="108" w:type="dxa"/>
              <w:right w:w="108" w:type="dxa"/>
            </w:tcMar>
            <w:vAlign w:val="center"/>
          </w:tcPr>
          <w:p w14:paraId="7C936986">
            <w:pPr>
              <w:widowControl/>
              <w:spacing w:after="180"/>
              <w:jc w:val="center"/>
              <w:rPr>
                <w:rFonts w:hint="default"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r>
      <w:tr w14:paraId="33EF23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3B2CBFB9">
            <w:pPr>
              <w:rPr>
                <w:rFonts w:ascii="黑体" w:hAnsi="黑体" w:eastAsia="黑体"/>
                <w:color w:val="auto"/>
                <w:szCs w:val="21"/>
              </w:rPr>
            </w:pPr>
          </w:p>
        </w:tc>
        <w:tc>
          <w:tcPr>
            <w:tcW w:w="1701" w:type="dxa"/>
            <w:vMerge w:val="continue"/>
            <w:shd w:val="clear" w:color="auto" w:fill="auto"/>
            <w:tcMar>
              <w:left w:w="108" w:type="dxa"/>
              <w:right w:w="108" w:type="dxa"/>
            </w:tcMar>
            <w:vAlign w:val="center"/>
          </w:tcPr>
          <w:p w14:paraId="79B37C39">
            <w:pPr>
              <w:spacing w:line="200" w:lineRule="exact"/>
              <w:rPr>
                <w:rFonts w:ascii="黑体" w:hAnsi="黑体" w:eastAsia="黑体"/>
                <w:color w:val="auto"/>
                <w:szCs w:val="21"/>
              </w:rPr>
            </w:pPr>
          </w:p>
        </w:tc>
        <w:tc>
          <w:tcPr>
            <w:tcW w:w="2976" w:type="dxa"/>
            <w:shd w:val="clear" w:color="auto" w:fill="auto"/>
            <w:tcMar>
              <w:left w:w="108" w:type="dxa"/>
              <w:right w:w="108" w:type="dxa"/>
            </w:tcMar>
            <w:vAlign w:val="center"/>
          </w:tcPr>
          <w:p w14:paraId="116CCB24">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2.</w:t>
            </w:r>
            <w:bookmarkStart w:id="2" w:name="_Hlk66974104"/>
            <w:r>
              <w:rPr>
                <w:rFonts w:hint="eastAsia" w:ascii="仿宋_GB2312" w:hAnsi="黑体" w:eastAsia="仿宋_GB2312"/>
                <w:color w:val="auto"/>
                <w:kern w:val="0"/>
                <w:szCs w:val="21"/>
              </w:rPr>
              <w:t>其他法律行政法规禁止公开</w:t>
            </w:r>
            <w:bookmarkEnd w:id="2"/>
          </w:p>
        </w:tc>
        <w:tc>
          <w:tcPr>
            <w:tcW w:w="829" w:type="dxa"/>
            <w:shd w:val="clear" w:color="auto" w:fill="auto"/>
            <w:tcMar>
              <w:left w:w="108" w:type="dxa"/>
              <w:right w:w="108" w:type="dxa"/>
            </w:tcMar>
            <w:vAlign w:val="center"/>
          </w:tcPr>
          <w:p w14:paraId="7FE42192">
            <w:pPr>
              <w:widowControl/>
              <w:spacing w:after="180" w:line="200" w:lineRule="exact"/>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10AA02E9">
            <w:pPr>
              <w:widowControl/>
              <w:spacing w:after="180" w:line="200" w:lineRule="exact"/>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0486CBC6">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31" w:type="dxa"/>
            <w:shd w:val="clear" w:color="auto" w:fill="auto"/>
            <w:tcMar>
              <w:left w:w="108" w:type="dxa"/>
              <w:right w:w="108" w:type="dxa"/>
            </w:tcMar>
            <w:vAlign w:val="center"/>
          </w:tcPr>
          <w:p w14:paraId="281A5BD2">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8" w:type="dxa"/>
            <w:shd w:val="clear" w:color="auto" w:fill="auto"/>
            <w:tcMar>
              <w:left w:w="108" w:type="dxa"/>
              <w:right w:w="108" w:type="dxa"/>
            </w:tcMar>
            <w:vAlign w:val="center"/>
          </w:tcPr>
          <w:p w14:paraId="2BA88EA3">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6759BF2E">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14" w:type="dxa"/>
            <w:shd w:val="clear" w:color="auto" w:fill="auto"/>
            <w:tcMar>
              <w:left w:w="108" w:type="dxa"/>
              <w:right w:w="108" w:type="dxa"/>
            </w:tcMar>
            <w:vAlign w:val="center"/>
          </w:tcPr>
          <w:p w14:paraId="5D23DA84">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r>
      <w:tr w14:paraId="7EBE39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62724085">
            <w:pPr>
              <w:rPr>
                <w:rFonts w:ascii="黑体" w:hAnsi="黑体" w:eastAsia="黑体"/>
                <w:color w:val="auto"/>
                <w:szCs w:val="21"/>
              </w:rPr>
            </w:pPr>
          </w:p>
        </w:tc>
        <w:tc>
          <w:tcPr>
            <w:tcW w:w="1701" w:type="dxa"/>
            <w:vMerge w:val="continue"/>
            <w:shd w:val="clear" w:color="auto" w:fill="auto"/>
            <w:tcMar>
              <w:left w:w="108" w:type="dxa"/>
              <w:right w:w="108" w:type="dxa"/>
            </w:tcMar>
            <w:vAlign w:val="center"/>
          </w:tcPr>
          <w:p w14:paraId="2A2523FE">
            <w:pPr>
              <w:spacing w:line="200" w:lineRule="exact"/>
              <w:rPr>
                <w:rFonts w:ascii="黑体" w:hAnsi="黑体" w:eastAsia="黑体"/>
                <w:color w:val="auto"/>
                <w:szCs w:val="21"/>
              </w:rPr>
            </w:pPr>
          </w:p>
        </w:tc>
        <w:tc>
          <w:tcPr>
            <w:tcW w:w="2976" w:type="dxa"/>
            <w:shd w:val="clear" w:color="auto" w:fill="auto"/>
            <w:tcMar>
              <w:left w:w="108" w:type="dxa"/>
              <w:right w:w="108" w:type="dxa"/>
            </w:tcMar>
            <w:vAlign w:val="center"/>
          </w:tcPr>
          <w:p w14:paraId="49DC5A93">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3.危及“三安全一稳定”</w:t>
            </w:r>
          </w:p>
        </w:tc>
        <w:tc>
          <w:tcPr>
            <w:tcW w:w="829" w:type="dxa"/>
            <w:shd w:val="clear" w:color="auto" w:fill="auto"/>
            <w:tcMar>
              <w:left w:w="108" w:type="dxa"/>
              <w:right w:w="108" w:type="dxa"/>
            </w:tcMar>
            <w:vAlign w:val="center"/>
          </w:tcPr>
          <w:p w14:paraId="19A0CAA7">
            <w:pPr>
              <w:widowControl/>
              <w:spacing w:after="180" w:line="200" w:lineRule="exact"/>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42A95E8E">
            <w:pPr>
              <w:widowControl/>
              <w:spacing w:after="180" w:line="200" w:lineRule="exact"/>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01D3F045">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31" w:type="dxa"/>
            <w:shd w:val="clear" w:color="auto" w:fill="auto"/>
            <w:tcMar>
              <w:left w:w="108" w:type="dxa"/>
              <w:right w:w="108" w:type="dxa"/>
            </w:tcMar>
            <w:vAlign w:val="center"/>
          </w:tcPr>
          <w:p w14:paraId="2399A1CD">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8" w:type="dxa"/>
            <w:shd w:val="clear" w:color="auto" w:fill="auto"/>
            <w:tcMar>
              <w:left w:w="108" w:type="dxa"/>
              <w:right w:w="108" w:type="dxa"/>
            </w:tcMar>
            <w:vAlign w:val="center"/>
          </w:tcPr>
          <w:p w14:paraId="76368190">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7BA6D0BE">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14" w:type="dxa"/>
            <w:shd w:val="clear" w:color="auto" w:fill="auto"/>
            <w:tcMar>
              <w:left w:w="108" w:type="dxa"/>
              <w:right w:w="108" w:type="dxa"/>
            </w:tcMar>
            <w:vAlign w:val="center"/>
          </w:tcPr>
          <w:p w14:paraId="645AAB57">
            <w:pPr>
              <w:widowControl/>
              <w:spacing w:after="180"/>
              <w:jc w:val="center"/>
              <w:rPr>
                <w:rFonts w:hint="default"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r>
      <w:tr w14:paraId="614540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1CC05709">
            <w:pPr>
              <w:rPr>
                <w:rFonts w:ascii="黑体" w:hAnsi="黑体" w:eastAsia="黑体"/>
                <w:color w:val="auto"/>
                <w:szCs w:val="21"/>
              </w:rPr>
            </w:pPr>
          </w:p>
        </w:tc>
        <w:tc>
          <w:tcPr>
            <w:tcW w:w="1701" w:type="dxa"/>
            <w:vMerge w:val="continue"/>
            <w:shd w:val="clear" w:color="auto" w:fill="auto"/>
            <w:tcMar>
              <w:left w:w="108" w:type="dxa"/>
              <w:right w:w="108" w:type="dxa"/>
            </w:tcMar>
            <w:vAlign w:val="center"/>
          </w:tcPr>
          <w:p w14:paraId="132CFE19">
            <w:pPr>
              <w:spacing w:line="200" w:lineRule="exact"/>
              <w:rPr>
                <w:rFonts w:ascii="黑体" w:hAnsi="黑体" w:eastAsia="黑体"/>
                <w:color w:val="auto"/>
                <w:szCs w:val="21"/>
              </w:rPr>
            </w:pPr>
          </w:p>
        </w:tc>
        <w:tc>
          <w:tcPr>
            <w:tcW w:w="2976" w:type="dxa"/>
            <w:shd w:val="clear" w:color="auto" w:fill="auto"/>
            <w:tcMar>
              <w:left w:w="108" w:type="dxa"/>
              <w:right w:w="108" w:type="dxa"/>
            </w:tcMar>
            <w:vAlign w:val="center"/>
          </w:tcPr>
          <w:p w14:paraId="27FD4E10">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4.</w:t>
            </w:r>
            <w:bookmarkStart w:id="3" w:name="_Hlk66974290"/>
            <w:r>
              <w:rPr>
                <w:rFonts w:hint="eastAsia" w:ascii="仿宋_GB2312" w:hAnsi="黑体" w:eastAsia="仿宋_GB2312"/>
                <w:color w:val="auto"/>
                <w:kern w:val="0"/>
                <w:szCs w:val="21"/>
              </w:rPr>
              <w:t>保护第三方合法权益</w:t>
            </w:r>
            <w:bookmarkEnd w:id="3"/>
          </w:p>
        </w:tc>
        <w:tc>
          <w:tcPr>
            <w:tcW w:w="829" w:type="dxa"/>
            <w:shd w:val="clear" w:color="auto" w:fill="auto"/>
            <w:tcMar>
              <w:left w:w="108" w:type="dxa"/>
              <w:right w:w="108" w:type="dxa"/>
            </w:tcMar>
            <w:vAlign w:val="center"/>
          </w:tcPr>
          <w:p w14:paraId="0539E488">
            <w:pPr>
              <w:widowControl/>
              <w:spacing w:after="180" w:line="200" w:lineRule="exact"/>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6BC41118">
            <w:pPr>
              <w:widowControl/>
              <w:spacing w:after="180" w:line="200" w:lineRule="exact"/>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7EE8638C">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31" w:type="dxa"/>
            <w:shd w:val="clear" w:color="auto" w:fill="auto"/>
            <w:tcMar>
              <w:left w:w="108" w:type="dxa"/>
              <w:right w:w="108" w:type="dxa"/>
            </w:tcMar>
            <w:vAlign w:val="center"/>
          </w:tcPr>
          <w:p w14:paraId="170F1CF0">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8" w:type="dxa"/>
            <w:shd w:val="clear" w:color="auto" w:fill="auto"/>
            <w:tcMar>
              <w:left w:w="108" w:type="dxa"/>
              <w:right w:w="108" w:type="dxa"/>
            </w:tcMar>
            <w:vAlign w:val="center"/>
          </w:tcPr>
          <w:p w14:paraId="16D1A76A">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089D4C0C">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14" w:type="dxa"/>
            <w:shd w:val="clear" w:color="auto" w:fill="auto"/>
            <w:tcMar>
              <w:left w:w="108" w:type="dxa"/>
              <w:right w:w="108" w:type="dxa"/>
            </w:tcMar>
            <w:vAlign w:val="center"/>
          </w:tcPr>
          <w:p w14:paraId="04382F3D">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r>
      <w:tr w14:paraId="573FE5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0649166">
            <w:pPr>
              <w:rPr>
                <w:rFonts w:ascii="黑体" w:hAnsi="黑体" w:eastAsia="黑体"/>
                <w:color w:val="auto"/>
                <w:szCs w:val="21"/>
              </w:rPr>
            </w:pPr>
          </w:p>
        </w:tc>
        <w:tc>
          <w:tcPr>
            <w:tcW w:w="1701" w:type="dxa"/>
            <w:vMerge w:val="continue"/>
            <w:shd w:val="clear" w:color="auto" w:fill="auto"/>
            <w:tcMar>
              <w:left w:w="108" w:type="dxa"/>
              <w:right w:w="108" w:type="dxa"/>
            </w:tcMar>
            <w:vAlign w:val="center"/>
          </w:tcPr>
          <w:p w14:paraId="6F60961C">
            <w:pPr>
              <w:spacing w:line="200" w:lineRule="exact"/>
              <w:rPr>
                <w:rFonts w:ascii="黑体" w:hAnsi="黑体" w:eastAsia="黑体"/>
                <w:color w:val="auto"/>
                <w:szCs w:val="21"/>
              </w:rPr>
            </w:pPr>
          </w:p>
        </w:tc>
        <w:tc>
          <w:tcPr>
            <w:tcW w:w="2976" w:type="dxa"/>
            <w:shd w:val="clear" w:color="auto" w:fill="auto"/>
            <w:tcMar>
              <w:left w:w="108" w:type="dxa"/>
              <w:right w:w="108" w:type="dxa"/>
            </w:tcMar>
            <w:vAlign w:val="center"/>
          </w:tcPr>
          <w:p w14:paraId="56204D0A">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5.属于三类内部事务信息</w:t>
            </w:r>
          </w:p>
        </w:tc>
        <w:tc>
          <w:tcPr>
            <w:tcW w:w="829" w:type="dxa"/>
            <w:shd w:val="clear" w:color="auto" w:fill="auto"/>
            <w:tcMar>
              <w:left w:w="108" w:type="dxa"/>
              <w:right w:w="108" w:type="dxa"/>
            </w:tcMar>
            <w:vAlign w:val="center"/>
          </w:tcPr>
          <w:p w14:paraId="5A2FC6FA">
            <w:pPr>
              <w:widowControl/>
              <w:spacing w:after="180" w:line="200" w:lineRule="exact"/>
              <w:jc w:val="center"/>
              <w:rPr>
                <w:rFonts w:hint="default"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7DD85180">
            <w:pPr>
              <w:widowControl/>
              <w:spacing w:after="180" w:line="200" w:lineRule="exact"/>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703FDF16">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31" w:type="dxa"/>
            <w:shd w:val="clear" w:color="auto" w:fill="auto"/>
            <w:tcMar>
              <w:left w:w="108" w:type="dxa"/>
              <w:right w:w="108" w:type="dxa"/>
            </w:tcMar>
            <w:vAlign w:val="center"/>
          </w:tcPr>
          <w:p w14:paraId="1BA06431">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8" w:type="dxa"/>
            <w:shd w:val="clear" w:color="auto" w:fill="auto"/>
            <w:tcMar>
              <w:left w:w="108" w:type="dxa"/>
              <w:right w:w="108" w:type="dxa"/>
            </w:tcMar>
            <w:vAlign w:val="center"/>
          </w:tcPr>
          <w:p w14:paraId="68A08D17">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2256A840">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14" w:type="dxa"/>
            <w:shd w:val="clear" w:color="auto" w:fill="auto"/>
            <w:tcMar>
              <w:left w:w="108" w:type="dxa"/>
              <w:right w:w="108" w:type="dxa"/>
            </w:tcMar>
            <w:vAlign w:val="center"/>
          </w:tcPr>
          <w:p w14:paraId="1FC73F9C">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r>
      <w:tr w14:paraId="7797A4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4D74448C">
            <w:pPr>
              <w:rPr>
                <w:rFonts w:ascii="黑体" w:hAnsi="黑体" w:eastAsia="黑体"/>
                <w:color w:val="auto"/>
                <w:szCs w:val="21"/>
              </w:rPr>
            </w:pPr>
          </w:p>
        </w:tc>
        <w:tc>
          <w:tcPr>
            <w:tcW w:w="1701" w:type="dxa"/>
            <w:vMerge w:val="continue"/>
            <w:shd w:val="clear" w:color="auto" w:fill="auto"/>
            <w:tcMar>
              <w:left w:w="108" w:type="dxa"/>
              <w:right w:w="108" w:type="dxa"/>
            </w:tcMar>
            <w:vAlign w:val="center"/>
          </w:tcPr>
          <w:p w14:paraId="20009B91">
            <w:pPr>
              <w:spacing w:line="200" w:lineRule="exact"/>
              <w:rPr>
                <w:rFonts w:ascii="黑体" w:hAnsi="黑体" w:eastAsia="黑体"/>
                <w:color w:val="auto"/>
                <w:szCs w:val="21"/>
              </w:rPr>
            </w:pPr>
          </w:p>
        </w:tc>
        <w:tc>
          <w:tcPr>
            <w:tcW w:w="2976" w:type="dxa"/>
            <w:shd w:val="clear" w:color="auto" w:fill="auto"/>
            <w:tcMar>
              <w:left w:w="108" w:type="dxa"/>
              <w:right w:w="108" w:type="dxa"/>
            </w:tcMar>
            <w:vAlign w:val="center"/>
          </w:tcPr>
          <w:p w14:paraId="28C8D54C">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6.</w:t>
            </w:r>
            <w:bookmarkStart w:id="4" w:name="_Hlk66974555"/>
            <w:r>
              <w:rPr>
                <w:rFonts w:hint="eastAsia" w:ascii="仿宋_GB2312" w:hAnsi="黑体" w:eastAsia="仿宋_GB2312"/>
                <w:color w:val="auto"/>
                <w:kern w:val="0"/>
                <w:szCs w:val="21"/>
              </w:rPr>
              <w:t>属于四类过程性信息</w:t>
            </w:r>
            <w:bookmarkEnd w:id="4"/>
          </w:p>
        </w:tc>
        <w:tc>
          <w:tcPr>
            <w:tcW w:w="829" w:type="dxa"/>
            <w:shd w:val="clear" w:color="auto" w:fill="auto"/>
            <w:tcMar>
              <w:left w:w="108" w:type="dxa"/>
              <w:right w:w="108" w:type="dxa"/>
            </w:tcMar>
            <w:vAlign w:val="center"/>
          </w:tcPr>
          <w:p w14:paraId="2ADEC1E9">
            <w:pPr>
              <w:widowControl/>
              <w:spacing w:after="180" w:line="200" w:lineRule="exact"/>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797A5897">
            <w:pPr>
              <w:widowControl/>
              <w:spacing w:after="180" w:line="200" w:lineRule="exact"/>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57346123">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31" w:type="dxa"/>
            <w:shd w:val="clear" w:color="auto" w:fill="auto"/>
            <w:tcMar>
              <w:left w:w="108" w:type="dxa"/>
              <w:right w:w="108" w:type="dxa"/>
            </w:tcMar>
            <w:vAlign w:val="center"/>
          </w:tcPr>
          <w:p w14:paraId="59073B4D">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8" w:type="dxa"/>
            <w:shd w:val="clear" w:color="auto" w:fill="auto"/>
            <w:tcMar>
              <w:left w:w="108" w:type="dxa"/>
              <w:right w:w="108" w:type="dxa"/>
            </w:tcMar>
            <w:vAlign w:val="center"/>
          </w:tcPr>
          <w:p w14:paraId="2F9CFF33">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44CC4311">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14" w:type="dxa"/>
            <w:shd w:val="clear" w:color="auto" w:fill="auto"/>
            <w:tcMar>
              <w:left w:w="108" w:type="dxa"/>
              <w:right w:w="108" w:type="dxa"/>
            </w:tcMar>
            <w:vAlign w:val="center"/>
          </w:tcPr>
          <w:p w14:paraId="4E5E18D7">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14:paraId="37C90B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057D248">
            <w:pPr>
              <w:rPr>
                <w:rFonts w:ascii="黑体" w:hAnsi="黑体" w:eastAsia="黑体"/>
                <w:color w:val="auto"/>
                <w:szCs w:val="21"/>
              </w:rPr>
            </w:pPr>
          </w:p>
        </w:tc>
        <w:tc>
          <w:tcPr>
            <w:tcW w:w="1701" w:type="dxa"/>
            <w:vMerge w:val="continue"/>
            <w:shd w:val="clear" w:color="auto" w:fill="auto"/>
            <w:tcMar>
              <w:left w:w="108" w:type="dxa"/>
              <w:right w:w="108" w:type="dxa"/>
            </w:tcMar>
            <w:vAlign w:val="center"/>
          </w:tcPr>
          <w:p w14:paraId="615CDFA6">
            <w:pPr>
              <w:spacing w:line="200" w:lineRule="exact"/>
              <w:rPr>
                <w:rFonts w:ascii="黑体" w:hAnsi="黑体" w:eastAsia="黑体"/>
                <w:color w:val="auto"/>
                <w:szCs w:val="21"/>
              </w:rPr>
            </w:pPr>
          </w:p>
        </w:tc>
        <w:tc>
          <w:tcPr>
            <w:tcW w:w="2976" w:type="dxa"/>
            <w:shd w:val="clear" w:color="auto" w:fill="auto"/>
            <w:tcMar>
              <w:left w:w="108" w:type="dxa"/>
              <w:right w:w="108" w:type="dxa"/>
            </w:tcMar>
            <w:vAlign w:val="center"/>
          </w:tcPr>
          <w:p w14:paraId="2F82B795">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7.属于行政执法案卷</w:t>
            </w:r>
          </w:p>
        </w:tc>
        <w:tc>
          <w:tcPr>
            <w:tcW w:w="829" w:type="dxa"/>
            <w:shd w:val="clear" w:color="auto" w:fill="auto"/>
            <w:tcMar>
              <w:left w:w="108" w:type="dxa"/>
              <w:right w:w="108" w:type="dxa"/>
            </w:tcMar>
            <w:vAlign w:val="center"/>
          </w:tcPr>
          <w:p w14:paraId="3D67D97F">
            <w:pPr>
              <w:widowControl/>
              <w:spacing w:after="180" w:line="200" w:lineRule="exact"/>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790DB365">
            <w:pPr>
              <w:widowControl/>
              <w:spacing w:after="180" w:line="200" w:lineRule="exact"/>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65DA32F1">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31" w:type="dxa"/>
            <w:shd w:val="clear" w:color="auto" w:fill="auto"/>
            <w:tcMar>
              <w:left w:w="108" w:type="dxa"/>
              <w:right w:w="108" w:type="dxa"/>
            </w:tcMar>
            <w:vAlign w:val="center"/>
          </w:tcPr>
          <w:p w14:paraId="5B9D7D3E">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8" w:type="dxa"/>
            <w:shd w:val="clear" w:color="auto" w:fill="auto"/>
            <w:tcMar>
              <w:left w:w="108" w:type="dxa"/>
              <w:right w:w="108" w:type="dxa"/>
            </w:tcMar>
            <w:vAlign w:val="center"/>
          </w:tcPr>
          <w:p w14:paraId="01E1F23E">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40CA86EF">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14" w:type="dxa"/>
            <w:shd w:val="clear" w:color="auto" w:fill="auto"/>
            <w:tcMar>
              <w:left w:w="108" w:type="dxa"/>
              <w:right w:w="108" w:type="dxa"/>
            </w:tcMar>
            <w:vAlign w:val="center"/>
          </w:tcPr>
          <w:p w14:paraId="2A11E939">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14:paraId="0B0C14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0E73BAA3">
            <w:pPr>
              <w:rPr>
                <w:rFonts w:ascii="黑体" w:hAnsi="黑体" w:eastAsia="黑体"/>
                <w:color w:val="auto"/>
                <w:szCs w:val="21"/>
              </w:rPr>
            </w:pPr>
          </w:p>
        </w:tc>
        <w:tc>
          <w:tcPr>
            <w:tcW w:w="1701" w:type="dxa"/>
            <w:vMerge w:val="continue"/>
            <w:shd w:val="clear" w:color="auto" w:fill="auto"/>
            <w:tcMar>
              <w:left w:w="108" w:type="dxa"/>
              <w:right w:w="108" w:type="dxa"/>
            </w:tcMar>
            <w:vAlign w:val="center"/>
          </w:tcPr>
          <w:p w14:paraId="31B21B74">
            <w:pPr>
              <w:spacing w:line="200" w:lineRule="exact"/>
              <w:rPr>
                <w:rFonts w:ascii="黑体" w:hAnsi="黑体" w:eastAsia="黑体"/>
                <w:color w:val="auto"/>
                <w:szCs w:val="21"/>
              </w:rPr>
            </w:pPr>
          </w:p>
        </w:tc>
        <w:tc>
          <w:tcPr>
            <w:tcW w:w="2976" w:type="dxa"/>
            <w:shd w:val="clear" w:color="auto" w:fill="auto"/>
            <w:tcMar>
              <w:left w:w="108" w:type="dxa"/>
              <w:right w:w="108" w:type="dxa"/>
            </w:tcMar>
            <w:vAlign w:val="center"/>
          </w:tcPr>
          <w:p w14:paraId="11D4C1CA">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8.</w:t>
            </w:r>
            <w:bookmarkStart w:id="5" w:name="_Hlk66975211"/>
            <w:r>
              <w:rPr>
                <w:rFonts w:hint="eastAsia" w:ascii="仿宋_GB2312" w:hAnsi="黑体" w:eastAsia="仿宋_GB2312"/>
                <w:color w:val="auto"/>
                <w:kern w:val="0"/>
                <w:szCs w:val="21"/>
              </w:rPr>
              <w:t>属于行政查询事项</w:t>
            </w:r>
            <w:bookmarkEnd w:id="5"/>
          </w:p>
        </w:tc>
        <w:tc>
          <w:tcPr>
            <w:tcW w:w="829" w:type="dxa"/>
            <w:shd w:val="clear" w:color="auto" w:fill="auto"/>
            <w:tcMar>
              <w:left w:w="108" w:type="dxa"/>
              <w:right w:w="108" w:type="dxa"/>
            </w:tcMar>
            <w:vAlign w:val="center"/>
          </w:tcPr>
          <w:p w14:paraId="4897ABE0">
            <w:pPr>
              <w:widowControl/>
              <w:spacing w:after="180" w:line="200" w:lineRule="exact"/>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40F9BB5A">
            <w:pPr>
              <w:widowControl/>
              <w:spacing w:after="180" w:line="200" w:lineRule="exact"/>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7326517F">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31" w:type="dxa"/>
            <w:shd w:val="clear" w:color="auto" w:fill="auto"/>
            <w:tcMar>
              <w:left w:w="108" w:type="dxa"/>
              <w:right w:w="108" w:type="dxa"/>
            </w:tcMar>
            <w:vAlign w:val="center"/>
          </w:tcPr>
          <w:p w14:paraId="04FA04BE">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8" w:type="dxa"/>
            <w:shd w:val="clear" w:color="auto" w:fill="auto"/>
            <w:tcMar>
              <w:left w:w="108" w:type="dxa"/>
              <w:right w:w="108" w:type="dxa"/>
            </w:tcMar>
            <w:vAlign w:val="center"/>
          </w:tcPr>
          <w:p w14:paraId="702B94BC">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32FDF47D">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14" w:type="dxa"/>
            <w:shd w:val="clear" w:color="auto" w:fill="auto"/>
            <w:tcMar>
              <w:left w:w="108" w:type="dxa"/>
              <w:right w:w="108" w:type="dxa"/>
            </w:tcMar>
            <w:vAlign w:val="center"/>
          </w:tcPr>
          <w:p w14:paraId="70787A53">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14:paraId="45D275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C5E59DE">
            <w:pPr>
              <w:rPr>
                <w:rFonts w:ascii="黑体" w:hAnsi="黑体" w:eastAsia="黑体"/>
                <w:color w:val="auto"/>
                <w:szCs w:val="21"/>
              </w:rPr>
            </w:pPr>
          </w:p>
        </w:tc>
        <w:tc>
          <w:tcPr>
            <w:tcW w:w="1701" w:type="dxa"/>
            <w:vMerge w:val="restart"/>
            <w:shd w:val="clear" w:color="auto" w:fill="auto"/>
            <w:tcMar>
              <w:left w:w="108" w:type="dxa"/>
              <w:right w:w="108" w:type="dxa"/>
            </w:tcMar>
            <w:vAlign w:val="center"/>
          </w:tcPr>
          <w:p w14:paraId="6F4B9472">
            <w:pPr>
              <w:widowControl/>
              <w:spacing w:line="200" w:lineRule="exact"/>
              <w:ind w:left="-107" w:leftChars="-51"/>
              <w:rPr>
                <w:rFonts w:ascii="黑体" w:hAnsi="黑体" w:eastAsia="黑体"/>
                <w:color w:val="auto"/>
                <w:szCs w:val="21"/>
              </w:rPr>
            </w:pPr>
            <w:r>
              <w:rPr>
                <w:rFonts w:hint="eastAsia" w:ascii="黑体" w:hAnsi="黑体" w:eastAsia="黑体"/>
                <w:color w:val="auto"/>
                <w:kern w:val="0"/>
                <w:szCs w:val="21"/>
              </w:rPr>
              <w:t>（四）无法提供</w:t>
            </w:r>
          </w:p>
        </w:tc>
        <w:tc>
          <w:tcPr>
            <w:tcW w:w="2976" w:type="dxa"/>
            <w:shd w:val="clear" w:color="auto" w:fill="auto"/>
            <w:tcMar>
              <w:left w:w="108" w:type="dxa"/>
              <w:right w:w="108" w:type="dxa"/>
            </w:tcMar>
            <w:vAlign w:val="center"/>
          </w:tcPr>
          <w:p w14:paraId="2FA47661">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1.本机关不掌握相关政府信息</w:t>
            </w:r>
          </w:p>
        </w:tc>
        <w:tc>
          <w:tcPr>
            <w:tcW w:w="829" w:type="dxa"/>
            <w:shd w:val="clear" w:color="auto" w:fill="auto"/>
            <w:tcMar>
              <w:left w:w="108" w:type="dxa"/>
              <w:right w:w="108" w:type="dxa"/>
            </w:tcMar>
            <w:vAlign w:val="center"/>
          </w:tcPr>
          <w:p w14:paraId="6A8EB74B">
            <w:pPr>
              <w:widowControl/>
              <w:spacing w:after="180" w:line="200" w:lineRule="exact"/>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2</w:t>
            </w:r>
          </w:p>
        </w:tc>
        <w:tc>
          <w:tcPr>
            <w:tcW w:w="567" w:type="dxa"/>
            <w:shd w:val="clear" w:color="auto" w:fill="auto"/>
            <w:tcMar>
              <w:left w:w="108" w:type="dxa"/>
              <w:right w:w="108" w:type="dxa"/>
            </w:tcMar>
            <w:vAlign w:val="center"/>
          </w:tcPr>
          <w:p w14:paraId="41032941">
            <w:pPr>
              <w:widowControl/>
              <w:spacing w:after="180" w:line="200" w:lineRule="exact"/>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266C7D38">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31" w:type="dxa"/>
            <w:shd w:val="clear" w:color="auto" w:fill="auto"/>
            <w:tcMar>
              <w:left w:w="108" w:type="dxa"/>
              <w:right w:w="108" w:type="dxa"/>
            </w:tcMar>
            <w:vAlign w:val="center"/>
          </w:tcPr>
          <w:p w14:paraId="567EA266">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8" w:type="dxa"/>
            <w:shd w:val="clear" w:color="auto" w:fill="auto"/>
            <w:tcMar>
              <w:left w:w="108" w:type="dxa"/>
              <w:right w:w="108" w:type="dxa"/>
            </w:tcMar>
            <w:vAlign w:val="center"/>
          </w:tcPr>
          <w:p w14:paraId="42E10CFE">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30A93526">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14" w:type="dxa"/>
            <w:shd w:val="clear" w:color="auto" w:fill="auto"/>
            <w:tcMar>
              <w:left w:w="108" w:type="dxa"/>
              <w:right w:w="108" w:type="dxa"/>
            </w:tcMar>
            <w:vAlign w:val="center"/>
          </w:tcPr>
          <w:p w14:paraId="29F2962D">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2</w:t>
            </w:r>
          </w:p>
        </w:tc>
      </w:tr>
      <w:tr w14:paraId="634669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0E4128B9">
            <w:pPr>
              <w:rPr>
                <w:rFonts w:ascii="黑体" w:hAnsi="黑体" w:eastAsia="黑体"/>
                <w:color w:val="auto"/>
                <w:szCs w:val="21"/>
              </w:rPr>
            </w:pPr>
          </w:p>
        </w:tc>
        <w:tc>
          <w:tcPr>
            <w:tcW w:w="1701" w:type="dxa"/>
            <w:vMerge w:val="continue"/>
            <w:shd w:val="clear" w:color="auto" w:fill="auto"/>
            <w:tcMar>
              <w:left w:w="108" w:type="dxa"/>
              <w:right w:w="108" w:type="dxa"/>
            </w:tcMar>
            <w:vAlign w:val="center"/>
          </w:tcPr>
          <w:p w14:paraId="08A9FDAC">
            <w:pPr>
              <w:spacing w:line="200" w:lineRule="exact"/>
              <w:ind w:left="-107" w:leftChars="-51"/>
              <w:rPr>
                <w:rFonts w:ascii="黑体" w:hAnsi="黑体" w:eastAsia="黑体"/>
                <w:color w:val="auto"/>
                <w:szCs w:val="21"/>
              </w:rPr>
            </w:pPr>
          </w:p>
        </w:tc>
        <w:tc>
          <w:tcPr>
            <w:tcW w:w="2976" w:type="dxa"/>
            <w:shd w:val="clear" w:color="auto" w:fill="auto"/>
            <w:tcMar>
              <w:left w:w="108" w:type="dxa"/>
              <w:right w:w="108" w:type="dxa"/>
            </w:tcMar>
            <w:vAlign w:val="center"/>
          </w:tcPr>
          <w:p w14:paraId="6299083F">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2.</w:t>
            </w:r>
            <w:bookmarkStart w:id="6" w:name="_Hlk66975392"/>
            <w:r>
              <w:rPr>
                <w:rFonts w:hint="eastAsia" w:ascii="仿宋_GB2312" w:hAnsi="黑体" w:eastAsia="仿宋_GB2312"/>
                <w:color w:val="auto"/>
                <w:kern w:val="0"/>
                <w:szCs w:val="21"/>
              </w:rPr>
              <w:t>没有现成信息需要另行制作</w:t>
            </w:r>
            <w:bookmarkEnd w:id="6"/>
          </w:p>
        </w:tc>
        <w:tc>
          <w:tcPr>
            <w:tcW w:w="829" w:type="dxa"/>
            <w:shd w:val="clear" w:color="auto" w:fill="auto"/>
            <w:tcMar>
              <w:left w:w="108" w:type="dxa"/>
              <w:right w:w="108" w:type="dxa"/>
            </w:tcMar>
            <w:vAlign w:val="center"/>
          </w:tcPr>
          <w:p w14:paraId="7CD08A3E">
            <w:pPr>
              <w:widowControl/>
              <w:spacing w:after="180" w:line="200" w:lineRule="exact"/>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02528DE8">
            <w:pPr>
              <w:widowControl/>
              <w:spacing w:after="180" w:line="200" w:lineRule="exact"/>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1C1178E3">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31" w:type="dxa"/>
            <w:shd w:val="clear" w:color="auto" w:fill="auto"/>
            <w:tcMar>
              <w:left w:w="108" w:type="dxa"/>
              <w:right w:w="108" w:type="dxa"/>
            </w:tcMar>
            <w:vAlign w:val="center"/>
          </w:tcPr>
          <w:p w14:paraId="6CE2F4C5">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8" w:type="dxa"/>
            <w:shd w:val="clear" w:color="auto" w:fill="auto"/>
            <w:tcMar>
              <w:left w:w="108" w:type="dxa"/>
              <w:right w:w="108" w:type="dxa"/>
            </w:tcMar>
            <w:vAlign w:val="center"/>
          </w:tcPr>
          <w:p w14:paraId="486EF250">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6903681C">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14" w:type="dxa"/>
            <w:shd w:val="clear" w:color="auto" w:fill="auto"/>
            <w:tcMar>
              <w:left w:w="108" w:type="dxa"/>
              <w:right w:w="108" w:type="dxa"/>
            </w:tcMar>
            <w:vAlign w:val="center"/>
          </w:tcPr>
          <w:p w14:paraId="6BE18CEA">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14:paraId="0F89D4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8797807">
            <w:pPr>
              <w:rPr>
                <w:rFonts w:ascii="黑体" w:hAnsi="黑体" w:eastAsia="黑体"/>
                <w:color w:val="auto"/>
                <w:szCs w:val="21"/>
              </w:rPr>
            </w:pPr>
          </w:p>
        </w:tc>
        <w:tc>
          <w:tcPr>
            <w:tcW w:w="1701" w:type="dxa"/>
            <w:vMerge w:val="continue"/>
            <w:shd w:val="clear" w:color="auto" w:fill="auto"/>
            <w:tcMar>
              <w:left w:w="108" w:type="dxa"/>
              <w:right w:w="108" w:type="dxa"/>
            </w:tcMar>
            <w:vAlign w:val="center"/>
          </w:tcPr>
          <w:p w14:paraId="21E1F824">
            <w:pPr>
              <w:spacing w:line="200" w:lineRule="exact"/>
              <w:ind w:left="-107" w:leftChars="-51"/>
              <w:rPr>
                <w:rFonts w:ascii="黑体" w:hAnsi="黑体" w:eastAsia="黑体"/>
                <w:color w:val="auto"/>
                <w:szCs w:val="21"/>
              </w:rPr>
            </w:pPr>
          </w:p>
        </w:tc>
        <w:tc>
          <w:tcPr>
            <w:tcW w:w="2976" w:type="dxa"/>
            <w:shd w:val="clear" w:color="auto" w:fill="auto"/>
            <w:tcMar>
              <w:left w:w="108" w:type="dxa"/>
              <w:right w:w="108" w:type="dxa"/>
            </w:tcMar>
            <w:vAlign w:val="center"/>
          </w:tcPr>
          <w:p w14:paraId="76616DEA">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3.</w:t>
            </w:r>
            <w:bookmarkStart w:id="7" w:name="_Hlk66975466"/>
            <w:r>
              <w:rPr>
                <w:rFonts w:hint="eastAsia" w:ascii="仿宋_GB2312" w:hAnsi="黑体" w:eastAsia="仿宋_GB2312"/>
                <w:color w:val="auto"/>
                <w:kern w:val="0"/>
                <w:szCs w:val="21"/>
              </w:rPr>
              <w:t>补正后申请内容仍不明确</w:t>
            </w:r>
            <w:bookmarkEnd w:id="7"/>
          </w:p>
        </w:tc>
        <w:tc>
          <w:tcPr>
            <w:tcW w:w="829" w:type="dxa"/>
            <w:shd w:val="clear" w:color="auto" w:fill="auto"/>
            <w:tcMar>
              <w:left w:w="108" w:type="dxa"/>
              <w:right w:w="108" w:type="dxa"/>
            </w:tcMar>
            <w:vAlign w:val="center"/>
          </w:tcPr>
          <w:p w14:paraId="01D96ED8">
            <w:pPr>
              <w:widowControl/>
              <w:spacing w:after="180" w:line="200" w:lineRule="exact"/>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1F462F2D">
            <w:pPr>
              <w:widowControl/>
              <w:spacing w:after="180" w:line="200" w:lineRule="exact"/>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5353EBC1">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31" w:type="dxa"/>
            <w:shd w:val="clear" w:color="auto" w:fill="auto"/>
            <w:tcMar>
              <w:left w:w="108" w:type="dxa"/>
              <w:right w:w="108" w:type="dxa"/>
            </w:tcMar>
            <w:vAlign w:val="center"/>
          </w:tcPr>
          <w:p w14:paraId="4F94367D">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8" w:type="dxa"/>
            <w:shd w:val="clear" w:color="auto" w:fill="auto"/>
            <w:tcMar>
              <w:left w:w="108" w:type="dxa"/>
              <w:right w:w="108" w:type="dxa"/>
            </w:tcMar>
            <w:vAlign w:val="center"/>
          </w:tcPr>
          <w:p w14:paraId="1B35CD7F">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256D4FCE">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14" w:type="dxa"/>
            <w:shd w:val="clear" w:color="auto" w:fill="auto"/>
            <w:tcMar>
              <w:left w:w="108" w:type="dxa"/>
              <w:right w:w="108" w:type="dxa"/>
            </w:tcMar>
            <w:vAlign w:val="center"/>
          </w:tcPr>
          <w:p w14:paraId="22B7F9F9">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14:paraId="6BF5FD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30CC71B1">
            <w:pPr>
              <w:rPr>
                <w:rFonts w:ascii="黑体" w:hAnsi="黑体" w:eastAsia="黑体"/>
                <w:color w:val="auto"/>
                <w:szCs w:val="21"/>
              </w:rPr>
            </w:pPr>
          </w:p>
        </w:tc>
        <w:tc>
          <w:tcPr>
            <w:tcW w:w="1701" w:type="dxa"/>
            <w:vMerge w:val="restart"/>
            <w:shd w:val="clear" w:color="auto" w:fill="auto"/>
            <w:tcMar>
              <w:left w:w="108" w:type="dxa"/>
              <w:right w:w="108" w:type="dxa"/>
            </w:tcMar>
            <w:vAlign w:val="center"/>
          </w:tcPr>
          <w:p w14:paraId="65A426B7">
            <w:pPr>
              <w:widowControl/>
              <w:spacing w:line="200" w:lineRule="exact"/>
              <w:ind w:left="-107" w:leftChars="-51"/>
              <w:rPr>
                <w:rFonts w:ascii="黑体" w:hAnsi="黑体" w:eastAsia="黑体"/>
                <w:color w:val="auto"/>
                <w:szCs w:val="21"/>
              </w:rPr>
            </w:pPr>
            <w:r>
              <w:rPr>
                <w:rFonts w:hint="eastAsia" w:ascii="黑体" w:hAnsi="黑体" w:eastAsia="黑体"/>
                <w:color w:val="auto"/>
                <w:kern w:val="0"/>
                <w:szCs w:val="21"/>
              </w:rPr>
              <w:t>（五）不予处理</w:t>
            </w:r>
          </w:p>
        </w:tc>
        <w:tc>
          <w:tcPr>
            <w:tcW w:w="2976" w:type="dxa"/>
            <w:shd w:val="clear" w:color="auto" w:fill="auto"/>
            <w:tcMar>
              <w:left w:w="108" w:type="dxa"/>
              <w:right w:w="108" w:type="dxa"/>
            </w:tcMar>
            <w:vAlign w:val="center"/>
          </w:tcPr>
          <w:p w14:paraId="06AD5A24">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1.</w:t>
            </w:r>
            <w:bookmarkStart w:id="8" w:name="_Hlk66975537"/>
            <w:r>
              <w:rPr>
                <w:rFonts w:hint="eastAsia" w:ascii="仿宋_GB2312" w:hAnsi="黑体" w:eastAsia="仿宋_GB2312"/>
                <w:color w:val="auto"/>
                <w:kern w:val="0"/>
                <w:szCs w:val="21"/>
              </w:rPr>
              <w:t>信访举报投诉类申请</w:t>
            </w:r>
            <w:bookmarkEnd w:id="8"/>
          </w:p>
        </w:tc>
        <w:tc>
          <w:tcPr>
            <w:tcW w:w="829" w:type="dxa"/>
            <w:shd w:val="clear" w:color="auto" w:fill="auto"/>
            <w:tcMar>
              <w:left w:w="108" w:type="dxa"/>
              <w:right w:w="108" w:type="dxa"/>
            </w:tcMar>
            <w:vAlign w:val="center"/>
          </w:tcPr>
          <w:p w14:paraId="5CAFF3CB">
            <w:pPr>
              <w:widowControl/>
              <w:spacing w:after="180" w:line="200" w:lineRule="exact"/>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6F2CC8F6">
            <w:pPr>
              <w:widowControl/>
              <w:spacing w:after="180" w:line="200" w:lineRule="exact"/>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57B89D7B">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31" w:type="dxa"/>
            <w:shd w:val="clear" w:color="auto" w:fill="auto"/>
            <w:tcMar>
              <w:left w:w="108" w:type="dxa"/>
              <w:right w:w="108" w:type="dxa"/>
            </w:tcMar>
            <w:vAlign w:val="center"/>
          </w:tcPr>
          <w:p w14:paraId="7C586E8B">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8" w:type="dxa"/>
            <w:shd w:val="clear" w:color="auto" w:fill="auto"/>
            <w:tcMar>
              <w:left w:w="108" w:type="dxa"/>
              <w:right w:w="108" w:type="dxa"/>
            </w:tcMar>
            <w:vAlign w:val="center"/>
          </w:tcPr>
          <w:p w14:paraId="71405951">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7D6E40BE">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14" w:type="dxa"/>
            <w:shd w:val="clear" w:color="auto" w:fill="auto"/>
            <w:tcMar>
              <w:left w:w="108" w:type="dxa"/>
              <w:right w:w="108" w:type="dxa"/>
            </w:tcMar>
            <w:vAlign w:val="center"/>
          </w:tcPr>
          <w:p w14:paraId="5D5B1F59">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14:paraId="4FDDA1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39D50C08">
            <w:pPr>
              <w:rPr>
                <w:rFonts w:ascii="黑体" w:hAnsi="黑体" w:eastAsia="黑体"/>
                <w:color w:val="auto"/>
                <w:szCs w:val="21"/>
              </w:rPr>
            </w:pPr>
          </w:p>
        </w:tc>
        <w:tc>
          <w:tcPr>
            <w:tcW w:w="1701" w:type="dxa"/>
            <w:vMerge w:val="continue"/>
            <w:shd w:val="clear" w:color="auto" w:fill="auto"/>
            <w:tcMar>
              <w:left w:w="108" w:type="dxa"/>
              <w:right w:w="108" w:type="dxa"/>
            </w:tcMar>
            <w:vAlign w:val="center"/>
          </w:tcPr>
          <w:p w14:paraId="4493C0A9">
            <w:pPr>
              <w:spacing w:line="200" w:lineRule="exact"/>
              <w:rPr>
                <w:rFonts w:ascii="黑体" w:hAnsi="黑体" w:eastAsia="黑体"/>
                <w:color w:val="auto"/>
                <w:szCs w:val="21"/>
              </w:rPr>
            </w:pPr>
          </w:p>
        </w:tc>
        <w:tc>
          <w:tcPr>
            <w:tcW w:w="2976" w:type="dxa"/>
            <w:shd w:val="clear" w:color="auto" w:fill="auto"/>
            <w:tcMar>
              <w:left w:w="108" w:type="dxa"/>
              <w:right w:w="108" w:type="dxa"/>
            </w:tcMar>
            <w:vAlign w:val="center"/>
          </w:tcPr>
          <w:p w14:paraId="50A571C4">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2.重复申请</w:t>
            </w:r>
          </w:p>
        </w:tc>
        <w:tc>
          <w:tcPr>
            <w:tcW w:w="829" w:type="dxa"/>
            <w:shd w:val="clear" w:color="auto" w:fill="auto"/>
            <w:tcMar>
              <w:left w:w="108" w:type="dxa"/>
              <w:right w:w="108" w:type="dxa"/>
            </w:tcMar>
            <w:vAlign w:val="center"/>
          </w:tcPr>
          <w:p w14:paraId="195E73FE">
            <w:pPr>
              <w:widowControl/>
              <w:spacing w:after="180" w:line="200" w:lineRule="exact"/>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43D95BBD">
            <w:pPr>
              <w:widowControl/>
              <w:spacing w:after="180" w:line="200" w:lineRule="exact"/>
              <w:jc w:val="center"/>
              <w:rPr>
                <w:rFonts w:hint="default"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0F06F16B">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31" w:type="dxa"/>
            <w:shd w:val="clear" w:color="auto" w:fill="auto"/>
            <w:tcMar>
              <w:left w:w="108" w:type="dxa"/>
              <w:right w:w="108" w:type="dxa"/>
            </w:tcMar>
            <w:vAlign w:val="center"/>
          </w:tcPr>
          <w:p w14:paraId="0E5E2A50">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8" w:type="dxa"/>
            <w:shd w:val="clear" w:color="auto" w:fill="auto"/>
            <w:tcMar>
              <w:left w:w="108" w:type="dxa"/>
              <w:right w:w="108" w:type="dxa"/>
            </w:tcMar>
            <w:vAlign w:val="center"/>
          </w:tcPr>
          <w:p w14:paraId="5B680DA6">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704CEAE7">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14" w:type="dxa"/>
            <w:shd w:val="clear" w:color="auto" w:fill="auto"/>
            <w:tcMar>
              <w:left w:w="108" w:type="dxa"/>
              <w:right w:w="108" w:type="dxa"/>
            </w:tcMar>
            <w:vAlign w:val="center"/>
          </w:tcPr>
          <w:p w14:paraId="7BA69196">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14:paraId="124161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16730FAA">
            <w:pPr>
              <w:rPr>
                <w:rFonts w:ascii="黑体" w:hAnsi="黑体" w:eastAsia="黑体"/>
                <w:color w:val="auto"/>
                <w:szCs w:val="21"/>
              </w:rPr>
            </w:pPr>
          </w:p>
        </w:tc>
        <w:tc>
          <w:tcPr>
            <w:tcW w:w="1701" w:type="dxa"/>
            <w:vMerge w:val="continue"/>
            <w:shd w:val="clear" w:color="auto" w:fill="auto"/>
            <w:tcMar>
              <w:left w:w="108" w:type="dxa"/>
              <w:right w:w="108" w:type="dxa"/>
            </w:tcMar>
            <w:vAlign w:val="center"/>
          </w:tcPr>
          <w:p w14:paraId="7ABD11C5">
            <w:pPr>
              <w:spacing w:line="200" w:lineRule="exact"/>
              <w:rPr>
                <w:rFonts w:ascii="黑体" w:hAnsi="黑体" w:eastAsia="黑体"/>
                <w:color w:val="auto"/>
                <w:szCs w:val="21"/>
              </w:rPr>
            </w:pPr>
          </w:p>
        </w:tc>
        <w:tc>
          <w:tcPr>
            <w:tcW w:w="2976" w:type="dxa"/>
            <w:shd w:val="clear" w:color="auto" w:fill="auto"/>
            <w:tcMar>
              <w:left w:w="108" w:type="dxa"/>
              <w:right w:w="108" w:type="dxa"/>
            </w:tcMar>
            <w:vAlign w:val="center"/>
          </w:tcPr>
          <w:p w14:paraId="7E62D116">
            <w:pPr>
              <w:widowControl/>
              <w:spacing w:line="200" w:lineRule="exact"/>
              <w:rPr>
                <w:rFonts w:ascii="仿宋_GB2312" w:hAnsi="黑体" w:eastAsia="仿宋_GB2312"/>
                <w:color w:val="auto"/>
                <w:szCs w:val="21"/>
              </w:rPr>
            </w:pPr>
            <w:r>
              <w:rPr>
                <w:rFonts w:hint="eastAsia" w:ascii="仿宋_GB2312" w:hAnsi="黑体" w:eastAsia="仿宋_GB2312"/>
                <w:color w:val="auto"/>
                <w:kern w:val="0"/>
                <w:szCs w:val="21"/>
              </w:rPr>
              <w:t>3.要求提供公开出版物</w:t>
            </w:r>
          </w:p>
        </w:tc>
        <w:tc>
          <w:tcPr>
            <w:tcW w:w="829" w:type="dxa"/>
            <w:shd w:val="clear" w:color="auto" w:fill="auto"/>
            <w:tcMar>
              <w:left w:w="108" w:type="dxa"/>
              <w:right w:w="108" w:type="dxa"/>
            </w:tcMar>
            <w:vAlign w:val="center"/>
          </w:tcPr>
          <w:p w14:paraId="0CAA0D89">
            <w:pPr>
              <w:widowControl/>
              <w:spacing w:after="180" w:line="200" w:lineRule="exact"/>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65E09186">
            <w:pPr>
              <w:widowControl/>
              <w:spacing w:after="180" w:line="200" w:lineRule="exact"/>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4E553271">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31" w:type="dxa"/>
            <w:shd w:val="clear" w:color="auto" w:fill="auto"/>
            <w:tcMar>
              <w:left w:w="108" w:type="dxa"/>
              <w:right w:w="108" w:type="dxa"/>
            </w:tcMar>
            <w:vAlign w:val="center"/>
          </w:tcPr>
          <w:p w14:paraId="2F569009">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8" w:type="dxa"/>
            <w:shd w:val="clear" w:color="auto" w:fill="auto"/>
            <w:tcMar>
              <w:left w:w="108" w:type="dxa"/>
              <w:right w:w="108" w:type="dxa"/>
            </w:tcMar>
            <w:vAlign w:val="center"/>
          </w:tcPr>
          <w:p w14:paraId="7C0BE7F6">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3695FED1">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14" w:type="dxa"/>
            <w:shd w:val="clear" w:color="auto" w:fill="auto"/>
            <w:tcMar>
              <w:left w:w="108" w:type="dxa"/>
              <w:right w:w="108" w:type="dxa"/>
            </w:tcMar>
            <w:vAlign w:val="center"/>
          </w:tcPr>
          <w:p w14:paraId="3E0E5AAF">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14:paraId="148E51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shd w:val="clear" w:color="auto" w:fill="auto"/>
            <w:tcMar>
              <w:left w:w="108" w:type="dxa"/>
              <w:right w:w="108" w:type="dxa"/>
            </w:tcMar>
            <w:vAlign w:val="center"/>
          </w:tcPr>
          <w:p w14:paraId="089F308D">
            <w:pPr>
              <w:rPr>
                <w:rFonts w:ascii="黑体" w:hAnsi="黑体" w:eastAsia="黑体"/>
                <w:color w:val="auto"/>
                <w:szCs w:val="21"/>
              </w:rPr>
            </w:pPr>
          </w:p>
        </w:tc>
        <w:tc>
          <w:tcPr>
            <w:tcW w:w="1701" w:type="dxa"/>
            <w:vMerge w:val="continue"/>
            <w:shd w:val="clear" w:color="auto" w:fill="auto"/>
            <w:tcMar>
              <w:left w:w="108" w:type="dxa"/>
              <w:right w:w="108" w:type="dxa"/>
            </w:tcMar>
            <w:vAlign w:val="center"/>
          </w:tcPr>
          <w:p w14:paraId="4E78CA04">
            <w:pPr>
              <w:spacing w:line="200" w:lineRule="exact"/>
              <w:rPr>
                <w:rFonts w:ascii="黑体" w:hAnsi="黑体" w:eastAsia="黑体"/>
                <w:color w:val="auto"/>
                <w:szCs w:val="21"/>
              </w:rPr>
            </w:pPr>
          </w:p>
        </w:tc>
        <w:tc>
          <w:tcPr>
            <w:tcW w:w="2976" w:type="dxa"/>
            <w:shd w:val="clear" w:color="auto" w:fill="auto"/>
            <w:tcMar>
              <w:left w:w="108" w:type="dxa"/>
              <w:right w:w="108" w:type="dxa"/>
            </w:tcMar>
            <w:vAlign w:val="center"/>
          </w:tcPr>
          <w:p w14:paraId="1A6A93FB">
            <w:pPr>
              <w:widowControl/>
              <w:spacing w:line="200" w:lineRule="exact"/>
              <w:rPr>
                <w:rFonts w:ascii="仿宋_GB2312" w:hAnsi="黑体" w:eastAsia="仿宋_GB2312"/>
                <w:color w:val="auto"/>
                <w:szCs w:val="21"/>
              </w:rPr>
            </w:pPr>
            <w:r>
              <w:rPr>
                <w:rFonts w:hint="eastAsia" w:ascii="仿宋_GB2312" w:hAnsi="黑体" w:eastAsia="仿宋_GB2312"/>
                <w:color w:val="auto"/>
                <w:kern w:val="0"/>
                <w:szCs w:val="21"/>
              </w:rPr>
              <w:t>4.无正当理由大量反复申请</w:t>
            </w:r>
          </w:p>
        </w:tc>
        <w:tc>
          <w:tcPr>
            <w:tcW w:w="829" w:type="dxa"/>
            <w:shd w:val="clear" w:color="auto" w:fill="auto"/>
            <w:tcMar>
              <w:left w:w="108" w:type="dxa"/>
              <w:right w:w="108" w:type="dxa"/>
            </w:tcMar>
            <w:vAlign w:val="center"/>
          </w:tcPr>
          <w:p w14:paraId="0DC2410B">
            <w:pPr>
              <w:widowControl/>
              <w:spacing w:after="180" w:line="200" w:lineRule="exact"/>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1965DF77">
            <w:pPr>
              <w:widowControl/>
              <w:spacing w:after="180" w:line="200" w:lineRule="exact"/>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6DC4F0BE">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31" w:type="dxa"/>
            <w:shd w:val="clear" w:color="auto" w:fill="auto"/>
            <w:tcMar>
              <w:left w:w="108" w:type="dxa"/>
              <w:right w:w="108" w:type="dxa"/>
            </w:tcMar>
            <w:vAlign w:val="center"/>
          </w:tcPr>
          <w:p w14:paraId="2FE22D90">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8" w:type="dxa"/>
            <w:shd w:val="clear" w:color="auto" w:fill="auto"/>
            <w:tcMar>
              <w:left w:w="108" w:type="dxa"/>
              <w:right w:w="108" w:type="dxa"/>
            </w:tcMar>
            <w:vAlign w:val="center"/>
          </w:tcPr>
          <w:p w14:paraId="7CD3EED4">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6B5E8A3E">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14" w:type="dxa"/>
            <w:shd w:val="clear" w:color="auto" w:fill="auto"/>
            <w:tcMar>
              <w:left w:w="108" w:type="dxa"/>
              <w:right w:w="108" w:type="dxa"/>
            </w:tcMar>
            <w:vAlign w:val="center"/>
          </w:tcPr>
          <w:p w14:paraId="5A5C53C7">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14:paraId="20E330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2F423690">
            <w:pPr>
              <w:rPr>
                <w:rFonts w:ascii="黑体" w:hAnsi="黑体" w:eastAsia="黑体"/>
                <w:color w:val="auto"/>
                <w:szCs w:val="21"/>
              </w:rPr>
            </w:pPr>
          </w:p>
        </w:tc>
        <w:tc>
          <w:tcPr>
            <w:tcW w:w="1701" w:type="dxa"/>
            <w:vMerge w:val="continue"/>
            <w:shd w:val="clear" w:color="auto" w:fill="auto"/>
            <w:tcMar>
              <w:left w:w="108" w:type="dxa"/>
              <w:right w:w="108" w:type="dxa"/>
            </w:tcMar>
            <w:vAlign w:val="center"/>
          </w:tcPr>
          <w:p w14:paraId="7A9872FF">
            <w:pPr>
              <w:spacing w:line="200" w:lineRule="exact"/>
              <w:rPr>
                <w:rFonts w:ascii="黑体" w:hAnsi="黑体" w:eastAsia="黑体"/>
                <w:color w:val="auto"/>
                <w:szCs w:val="21"/>
              </w:rPr>
            </w:pPr>
          </w:p>
        </w:tc>
        <w:tc>
          <w:tcPr>
            <w:tcW w:w="2976" w:type="dxa"/>
            <w:shd w:val="clear" w:color="auto" w:fill="auto"/>
            <w:tcMar>
              <w:left w:w="108" w:type="dxa"/>
              <w:right w:w="108" w:type="dxa"/>
            </w:tcMar>
            <w:vAlign w:val="center"/>
          </w:tcPr>
          <w:p w14:paraId="79961B55">
            <w:pPr>
              <w:widowControl/>
              <w:spacing w:line="300" w:lineRule="exact"/>
              <w:rPr>
                <w:rFonts w:ascii="仿宋_GB2312" w:hAnsi="黑体" w:eastAsia="仿宋_GB2312"/>
                <w:color w:val="auto"/>
                <w:kern w:val="0"/>
                <w:szCs w:val="21"/>
              </w:rPr>
            </w:pPr>
            <w:r>
              <w:rPr>
                <w:rFonts w:hint="eastAsia" w:ascii="仿宋_GB2312" w:hAnsi="黑体" w:eastAsia="仿宋_GB2312"/>
                <w:color w:val="auto"/>
                <w:kern w:val="0"/>
                <w:szCs w:val="21"/>
              </w:rPr>
              <w:t>5.要求行政机关确认或重新</w:t>
            </w:r>
          </w:p>
          <w:p w14:paraId="6ABFABFB">
            <w:pPr>
              <w:widowControl/>
              <w:spacing w:line="300" w:lineRule="exact"/>
              <w:ind w:firstLine="210" w:firstLineChars="100"/>
              <w:rPr>
                <w:rFonts w:ascii="仿宋_GB2312" w:hAnsi="黑体" w:eastAsia="仿宋_GB2312"/>
                <w:color w:val="auto"/>
                <w:szCs w:val="21"/>
              </w:rPr>
            </w:pPr>
            <w:r>
              <w:rPr>
                <w:rFonts w:hint="eastAsia" w:ascii="仿宋_GB2312" w:hAnsi="黑体" w:eastAsia="仿宋_GB2312"/>
                <w:color w:val="auto"/>
                <w:kern w:val="0"/>
                <w:szCs w:val="21"/>
              </w:rPr>
              <w:t>出具已获取信息</w:t>
            </w:r>
          </w:p>
        </w:tc>
        <w:tc>
          <w:tcPr>
            <w:tcW w:w="829" w:type="dxa"/>
            <w:shd w:val="clear" w:color="auto" w:fill="auto"/>
            <w:tcMar>
              <w:left w:w="108" w:type="dxa"/>
              <w:right w:w="108" w:type="dxa"/>
            </w:tcMar>
            <w:vAlign w:val="center"/>
          </w:tcPr>
          <w:p w14:paraId="5B95A563">
            <w:pPr>
              <w:widowControl/>
              <w:spacing w:after="180" w:line="200" w:lineRule="exact"/>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5174FD8E">
            <w:pPr>
              <w:widowControl/>
              <w:spacing w:after="180" w:line="200" w:lineRule="exact"/>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3BD87130">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31" w:type="dxa"/>
            <w:shd w:val="clear" w:color="auto" w:fill="auto"/>
            <w:tcMar>
              <w:left w:w="108" w:type="dxa"/>
              <w:right w:w="108" w:type="dxa"/>
            </w:tcMar>
            <w:vAlign w:val="center"/>
          </w:tcPr>
          <w:p w14:paraId="3E5E03CC">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8" w:type="dxa"/>
            <w:shd w:val="clear" w:color="auto" w:fill="auto"/>
            <w:tcMar>
              <w:left w:w="108" w:type="dxa"/>
              <w:right w:w="108" w:type="dxa"/>
            </w:tcMar>
            <w:vAlign w:val="center"/>
          </w:tcPr>
          <w:p w14:paraId="232B3D2E">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72BED1FE">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14" w:type="dxa"/>
            <w:shd w:val="clear" w:color="auto" w:fill="auto"/>
            <w:tcMar>
              <w:left w:w="108" w:type="dxa"/>
              <w:right w:w="108" w:type="dxa"/>
            </w:tcMar>
            <w:vAlign w:val="center"/>
          </w:tcPr>
          <w:p w14:paraId="43691B22">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14:paraId="21DD2B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010BD1CC">
            <w:pPr>
              <w:rPr>
                <w:rFonts w:ascii="黑体" w:hAnsi="黑体" w:eastAsia="黑体"/>
                <w:color w:val="auto"/>
                <w:szCs w:val="21"/>
              </w:rPr>
            </w:pPr>
          </w:p>
        </w:tc>
        <w:tc>
          <w:tcPr>
            <w:tcW w:w="1701" w:type="dxa"/>
            <w:vMerge w:val="restart"/>
            <w:shd w:val="clear" w:color="auto" w:fill="auto"/>
            <w:tcMar>
              <w:left w:w="108" w:type="dxa"/>
              <w:right w:w="108" w:type="dxa"/>
            </w:tcMar>
            <w:vAlign w:val="center"/>
          </w:tcPr>
          <w:p w14:paraId="7A42CAE5">
            <w:pPr>
              <w:widowControl/>
              <w:spacing w:line="300" w:lineRule="exact"/>
              <w:rPr>
                <w:rFonts w:ascii="黑体" w:hAnsi="黑体" w:eastAsia="黑体"/>
                <w:color w:val="auto"/>
                <w:kern w:val="0"/>
                <w:szCs w:val="21"/>
              </w:rPr>
            </w:pPr>
            <w:r>
              <w:rPr>
                <w:rFonts w:hint="eastAsia" w:ascii="黑体" w:hAnsi="黑体" w:eastAsia="黑体"/>
                <w:color w:val="auto"/>
                <w:kern w:val="0"/>
                <w:szCs w:val="21"/>
              </w:rPr>
              <w:t>（六）其他处理</w:t>
            </w:r>
          </w:p>
        </w:tc>
        <w:tc>
          <w:tcPr>
            <w:tcW w:w="2976" w:type="dxa"/>
            <w:shd w:val="clear" w:color="auto" w:fill="auto"/>
            <w:vAlign w:val="center"/>
          </w:tcPr>
          <w:p w14:paraId="1AA89150">
            <w:pPr>
              <w:widowControl/>
              <w:spacing w:line="300" w:lineRule="exact"/>
              <w:rPr>
                <w:rFonts w:ascii="仿宋_GB2312" w:hAnsi="楷体" w:eastAsia="仿宋_GB2312"/>
                <w:color w:val="auto"/>
              </w:rPr>
            </w:pPr>
            <w:r>
              <w:rPr>
                <w:rFonts w:hint="eastAsia" w:ascii="仿宋_GB2312" w:hAnsi="楷体" w:eastAsia="仿宋_GB2312"/>
                <w:color w:val="auto"/>
              </w:rPr>
              <w:t>1.申请人无正当理由逾期不补正、行政机关不再处理其政府信息公开申请</w:t>
            </w:r>
          </w:p>
        </w:tc>
        <w:tc>
          <w:tcPr>
            <w:tcW w:w="829" w:type="dxa"/>
            <w:shd w:val="clear" w:color="auto" w:fill="auto"/>
            <w:tcMar>
              <w:left w:w="108" w:type="dxa"/>
              <w:right w:w="108" w:type="dxa"/>
            </w:tcMar>
            <w:vAlign w:val="center"/>
          </w:tcPr>
          <w:p w14:paraId="10CFD0AB">
            <w:pPr>
              <w:widowControl/>
              <w:spacing w:after="180" w:line="200" w:lineRule="exact"/>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3D68E623">
            <w:pPr>
              <w:widowControl/>
              <w:spacing w:after="180" w:line="200" w:lineRule="exact"/>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43A73AF2">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31" w:type="dxa"/>
            <w:shd w:val="clear" w:color="auto" w:fill="auto"/>
            <w:tcMar>
              <w:left w:w="108" w:type="dxa"/>
              <w:right w:w="108" w:type="dxa"/>
            </w:tcMar>
            <w:vAlign w:val="center"/>
          </w:tcPr>
          <w:p w14:paraId="7BE85F38">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8" w:type="dxa"/>
            <w:shd w:val="clear" w:color="auto" w:fill="auto"/>
            <w:tcMar>
              <w:left w:w="108" w:type="dxa"/>
              <w:right w:w="108" w:type="dxa"/>
            </w:tcMar>
            <w:vAlign w:val="center"/>
          </w:tcPr>
          <w:p w14:paraId="69BEAD15">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6DFE4EF5">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14" w:type="dxa"/>
            <w:shd w:val="clear" w:color="auto" w:fill="auto"/>
            <w:tcMar>
              <w:left w:w="108" w:type="dxa"/>
              <w:right w:w="108" w:type="dxa"/>
            </w:tcMar>
            <w:vAlign w:val="center"/>
          </w:tcPr>
          <w:p w14:paraId="098BBF28">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14:paraId="703FBE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19E50175">
            <w:pPr>
              <w:rPr>
                <w:rFonts w:ascii="黑体" w:hAnsi="黑体" w:eastAsia="黑体"/>
                <w:color w:val="auto"/>
                <w:szCs w:val="21"/>
              </w:rPr>
            </w:pPr>
          </w:p>
        </w:tc>
        <w:tc>
          <w:tcPr>
            <w:tcW w:w="1701" w:type="dxa"/>
            <w:vMerge w:val="continue"/>
            <w:shd w:val="clear" w:color="auto" w:fill="auto"/>
            <w:tcMar>
              <w:left w:w="108" w:type="dxa"/>
              <w:right w:w="108" w:type="dxa"/>
            </w:tcMar>
            <w:vAlign w:val="center"/>
          </w:tcPr>
          <w:p w14:paraId="07DDE8AC">
            <w:pPr>
              <w:widowControl/>
              <w:spacing w:line="300" w:lineRule="exact"/>
              <w:rPr>
                <w:rFonts w:ascii="黑体" w:hAnsi="黑体" w:eastAsia="黑体"/>
                <w:color w:val="auto"/>
                <w:kern w:val="0"/>
                <w:szCs w:val="21"/>
              </w:rPr>
            </w:pPr>
          </w:p>
        </w:tc>
        <w:tc>
          <w:tcPr>
            <w:tcW w:w="2976" w:type="dxa"/>
            <w:shd w:val="clear" w:color="auto" w:fill="auto"/>
            <w:vAlign w:val="center"/>
          </w:tcPr>
          <w:p w14:paraId="667D9319">
            <w:pPr>
              <w:widowControl/>
              <w:spacing w:line="300" w:lineRule="exact"/>
              <w:rPr>
                <w:rFonts w:ascii="仿宋_GB2312" w:hAnsi="黑体" w:eastAsia="仿宋_GB2312"/>
                <w:color w:val="auto"/>
                <w:kern w:val="0"/>
                <w:szCs w:val="21"/>
              </w:rPr>
            </w:pPr>
            <w:r>
              <w:rPr>
                <w:rFonts w:hint="eastAsia" w:ascii="仿宋_GB2312" w:hAnsi="楷体" w:eastAsia="仿宋_GB2312"/>
                <w:color w:val="auto"/>
              </w:rPr>
              <w:t>2.申请人逾期未按收费通知要求缴纳费用、行政机关不再处理其政府信息公开申请</w:t>
            </w:r>
          </w:p>
        </w:tc>
        <w:tc>
          <w:tcPr>
            <w:tcW w:w="829" w:type="dxa"/>
            <w:shd w:val="clear" w:color="auto" w:fill="auto"/>
            <w:tcMar>
              <w:left w:w="108" w:type="dxa"/>
              <w:right w:w="108" w:type="dxa"/>
            </w:tcMar>
            <w:vAlign w:val="center"/>
          </w:tcPr>
          <w:p w14:paraId="24708C77">
            <w:pPr>
              <w:widowControl/>
              <w:spacing w:after="180" w:line="200" w:lineRule="exact"/>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3A4A2775">
            <w:pPr>
              <w:widowControl/>
              <w:spacing w:after="180" w:line="200" w:lineRule="exact"/>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694A0BEB">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31" w:type="dxa"/>
            <w:shd w:val="clear" w:color="auto" w:fill="auto"/>
            <w:tcMar>
              <w:left w:w="108" w:type="dxa"/>
              <w:right w:w="108" w:type="dxa"/>
            </w:tcMar>
            <w:vAlign w:val="center"/>
          </w:tcPr>
          <w:p w14:paraId="45B9D64D">
            <w:pPr>
              <w:widowControl/>
              <w:spacing w:after="180"/>
              <w:jc w:val="center"/>
              <w:rPr>
                <w:rFonts w:hint="default"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08" w:type="dxa"/>
            <w:shd w:val="clear" w:color="auto" w:fill="auto"/>
            <w:tcMar>
              <w:left w:w="108" w:type="dxa"/>
              <w:right w:w="108" w:type="dxa"/>
            </w:tcMar>
            <w:vAlign w:val="center"/>
          </w:tcPr>
          <w:p w14:paraId="67133B15">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79686B93">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14" w:type="dxa"/>
            <w:shd w:val="clear" w:color="auto" w:fill="auto"/>
            <w:tcMar>
              <w:left w:w="108" w:type="dxa"/>
              <w:right w:w="108" w:type="dxa"/>
            </w:tcMar>
            <w:vAlign w:val="center"/>
          </w:tcPr>
          <w:p w14:paraId="00B8349C">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r>
      <w:tr w14:paraId="0F8E65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050E8BDF">
            <w:pPr>
              <w:rPr>
                <w:rFonts w:ascii="黑体" w:hAnsi="黑体" w:eastAsia="黑体"/>
                <w:color w:val="auto"/>
                <w:szCs w:val="21"/>
              </w:rPr>
            </w:pPr>
          </w:p>
        </w:tc>
        <w:tc>
          <w:tcPr>
            <w:tcW w:w="1701" w:type="dxa"/>
            <w:vMerge w:val="continue"/>
            <w:shd w:val="clear" w:color="auto" w:fill="auto"/>
            <w:tcMar>
              <w:left w:w="108" w:type="dxa"/>
              <w:right w:w="108" w:type="dxa"/>
            </w:tcMar>
            <w:vAlign w:val="center"/>
          </w:tcPr>
          <w:p w14:paraId="66ABCC42">
            <w:pPr>
              <w:widowControl/>
              <w:spacing w:line="300" w:lineRule="exact"/>
              <w:rPr>
                <w:rFonts w:ascii="黑体" w:hAnsi="黑体" w:eastAsia="黑体"/>
                <w:color w:val="auto"/>
                <w:kern w:val="0"/>
                <w:szCs w:val="21"/>
              </w:rPr>
            </w:pPr>
          </w:p>
        </w:tc>
        <w:tc>
          <w:tcPr>
            <w:tcW w:w="2976" w:type="dxa"/>
            <w:shd w:val="clear" w:color="auto" w:fill="auto"/>
            <w:vAlign w:val="center"/>
          </w:tcPr>
          <w:p w14:paraId="056BE43B">
            <w:pPr>
              <w:widowControl/>
              <w:spacing w:line="300" w:lineRule="exact"/>
              <w:rPr>
                <w:rFonts w:ascii="仿宋_GB2312" w:hAnsi="黑体" w:eastAsia="仿宋_GB2312"/>
                <w:color w:val="auto"/>
                <w:kern w:val="0"/>
                <w:szCs w:val="21"/>
              </w:rPr>
            </w:pPr>
            <w:r>
              <w:rPr>
                <w:rFonts w:hint="eastAsia" w:ascii="仿宋_GB2312" w:hAnsi="楷体" w:eastAsia="仿宋_GB2312"/>
                <w:color w:val="auto"/>
              </w:rPr>
              <w:t>3.其他</w:t>
            </w:r>
          </w:p>
        </w:tc>
        <w:tc>
          <w:tcPr>
            <w:tcW w:w="829" w:type="dxa"/>
            <w:shd w:val="clear" w:color="auto" w:fill="auto"/>
            <w:tcMar>
              <w:left w:w="108" w:type="dxa"/>
              <w:right w:w="108" w:type="dxa"/>
            </w:tcMar>
            <w:vAlign w:val="center"/>
          </w:tcPr>
          <w:p w14:paraId="393B1CA3">
            <w:pPr>
              <w:widowControl/>
              <w:spacing w:after="180" w:line="200" w:lineRule="exact"/>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2C117D83">
            <w:pPr>
              <w:widowControl/>
              <w:spacing w:after="180" w:line="200" w:lineRule="exact"/>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479C9340">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31" w:type="dxa"/>
            <w:shd w:val="clear" w:color="auto" w:fill="auto"/>
            <w:tcMar>
              <w:left w:w="108" w:type="dxa"/>
              <w:right w:w="108" w:type="dxa"/>
            </w:tcMar>
            <w:vAlign w:val="center"/>
          </w:tcPr>
          <w:p w14:paraId="51C2BDDE">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08" w:type="dxa"/>
            <w:shd w:val="clear" w:color="auto" w:fill="auto"/>
            <w:tcMar>
              <w:left w:w="108" w:type="dxa"/>
              <w:right w:w="108" w:type="dxa"/>
            </w:tcMar>
            <w:vAlign w:val="center"/>
          </w:tcPr>
          <w:p w14:paraId="62604524">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7B4DF589">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14" w:type="dxa"/>
            <w:shd w:val="clear" w:color="auto" w:fill="auto"/>
            <w:tcMar>
              <w:left w:w="108" w:type="dxa"/>
              <w:right w:w="108" w:type="dxa"/>
            </w:tcMar>
            <w:vAlign w:val="center"/>
          </w:tcPr>
          <w:p w14:paraId="20ACB4D7">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r>
      <w:tr w14:paraId="1C00E5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011BD584">
            <w:pPr>
              <w:rPr>
                <w:rFonts w:ascii="黑体" w:hAnsi="黑体" w:eastAsia="黑体"/>
                <w:color w:val="auto"/>
                <w:szCs w:val="21"/>
              </w:rPr>
            </w:pPr>
          </w:p>
        </w:tc>
        <w:tc>
          <w:tcPr>
            <w:tcW w:w="4677" w:type="dxa"/>
            <w:gridSpan w:val="2"/>
            <w:shd w:val="clear" w:color="auto" w:fill="auto"/>
            <w:tcMar>
              <w:left w:w="108" w:type="dxa"/>
              <w:right w:w="108" w:type="dxa"/>
            </w:tcMar>
            <w:vAlign w:val="center"/>
          </w:tcPr>
          <w:p w14:paraId="6250CB0E">
            <w:pPr>
              <w:widowControl/>
              <w:spacing w:line="300" w:lineRule="exact"/>
              <w:rPr>
                <w:rFonts w:ascii="黑体" w:hAnsi="黑体" w:eastAsia="黑体"/>
                <w:color w:val="auto"/>
                <w:kern w:val="0"/>
                <w:szCs w:val="21"/>
              </w:rPr>
            </w:pPr>
            <w:r>
              <w:rPr>
                <w:rFonts w:hint="eastAsia" w:ascii="黑体" w:hAnsi="黑体" w:eastAsia="黑体"/>
                <w:color w:val="auto"/>
                <w:kern w:val="0"/>
                <w:szCs w:val="21"/>
              </w:rPr>
              <w:t>（七）总计</w:t>
            </w:r>
          </w:p>
        </w:tc>
        <w:tc>
          <w:tcPr>
            <w:tcW w:w="829" w:type="dxa"/>
            <w:shd w:val="clear" w:color="auto" w:fill="auto"/>
            <w:tcMar>
              <w:left w:w="108" w:type="dxa"/>
              <w:right w:w="108" w:type="dxa"/>
            </w:tcMar>
            <w:vAlign w:val="center"/>
          </w:tcPr>
          <w:p w14:paraId="51820296">
            <w:pPr>
              <w:widowControl/>
              <w:spacing w:after="180" w:line="200" w:lineRule="exact"/>
              <w:jc w:val="center"/>
              <w:rPr>
                <w:rFonts w:hint="default"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3</w:t>
            </w:r>
          </w:p>
        </w:tc>
        <w:tc>
          <w:tcPr>
            <w:tcW w:w="567" w:type="dxa"/>
            <w:shd w:val="clear" w:color="auto" w:fill="auto"/>
            <w:tcMar>
              <w:left w:w="108" w:type="dxa"/>
              <w:right w:w="108" w:type="dxa"/>
            </w:tcMar>
            <w:vAlign w:val="center"/>
          </w:tcPr>
          <w:p w14:paraId="303E415E">
            <w:pPr>
              <w:widowControl/>
              <w:spacing w:after="180" w:line="200" w:lineRule="exact"/>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02038570">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31" w:type="dxa"/>
            <w:shd w:val="clear" w:color="auto" w:fill="auto"/>
            <w:tcMar>
              <w:left w:w="108" w:type="dxa"/>
              <w:right w:w="108" w:type="dxa"/>
            </w:tcMar>
            <w:vAlign w:val="center"/>
          </w:tcPr>
          <w:p w14:paraId="369BEB34">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08" w:type="dxa"/>
            <w:shd w:val="clear" w:color="auto" w:fill="auto"/>
            <w:tcMar>
              <w:left w:w="108" w:type="dxa"/>
              <w:right w:w="108" w:type="dxa"/>
            </w:tcMar>
            <w:vAlign w:val="center"/>
          </w:tcPr>
          <w:p w14:paraId="1BF5CB1A">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3677D0C3">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14" w:type="dxa"/>
            <w:shd w:val="clear" w:color="auto" w:fill="auto"/>
            <w:tcMar>
              <w:left w:w="108" w:type="dxa"/>
              <w:right w:w="108" w:type="dxa"/>
            </w:tcMar>
            <w:vAlign w:val="center"/>
          </w:tcPr>
          <w:p w14:paraId="6238A6CB">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3</w:t>
            </w:r>
          </w:p>
        </w:tc>
      </w:tr>
      <w:tr w14:paraId="42D461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shd w:val="clear" w:color="auto" w:fill="auto"/>
            <w:tcMar>
              <w:left w:w="108" w:type="dxa"/>
              <w:right w:w="108" w:type="dxa"/>
            </w:tcMar>
            <w:vAlign w:val="center"/>
          </w:tcPr>
          <w:p w14:paraId="15308117">
            <w:pPr>
              <w:widowControl/>
              <w:spacing w:line="300" w:lineRule="exact"/>
              <w:rPr>
                <w:rFonts w:ascii="黑体" w:hAnsi="黑体" w:eastAsia="黑体"/>
                <w:color w:val="auto"/>
                <w:kern w:val="0"/>
                <w:szCs w:val="21"/>
              </w:rPr>
            </w:pPr>
            <w:r>
              <w:rPr>
                <w:rFonts w:hint="eastAsia" w:ascii="黑体" w:hAnsi="黑体" w:eastAsia="黑体"/>
                <w:color w:val="auto"/>
                <w:kern w:val="0"/>
                <w:szCs w:val="21"/>
              </w:rPr>
              <w:t>四、结转下年度继续办理</w:t>
            </w:r>
          </w:p>
        </w:tc>
        <w:tc>
          <w:tcPr>
            <w:tcW w:w="829" w:type="dxa"/>
            <w:shd w:val="clear" w:color="auto" w:fill="auto"/>
            <w:tcMar>
              <w:left w:w="108" w:type="dxa"/>
              <w:right w:w="108" w:type="dxa"/>
            </w:tcMar>
            <w:vAlign w:val="center"/>
          </w:tcPr>
          <w:p w14:paraId="0ACD7CB0">
            <w:pPr>
              <w:widowControl/>
              <w:spacing w:after="180" w:line="200" w:lineRule="exact"/>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20046FA1">
            <w:pPr>
              <w:widowControl/>
              <w:spacing w:after="180" w:line="200" w:lineRule="exact"/>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133E8907">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31" w:type="dxa"/>
            <w:shd w:val="clear" w:color="auto" w:fill="auto"/>
            <w:tcMar>
              <w:left w:w="108" w:type="dxa"/>
              <w:right w:w="108" w:type="dxa"/>
            </w:tcMar>
            <w:vAlign w:val="center"/>
          </w:tcPr>
          <w:p w14:paraId="4382107E">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08" w:type="dxa"/>
            <w:shd w:val="clear" w:color="auto" w:fill="auto"/>
            <w:tcMar>
              <w:left w:w="108" w:type="dxa"/>
              <w:right w:w="108" w:type="dxa"/>
            </w:tcMar>
            <w:vAlign w:val="center"/>
          </w:tcPr>
          <w:p w14:paraId="18BF5B5F">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5C785A7A">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14" w:type="dxa"/>
            <w:shd w:val="clear" w:color="auto" w:fill="auto"/>
            <w:tcMar>
              <w:left w:w="108" w:type="dxa"/>
              <w:right w:w="108" w:type="dxa"/>
            </w:tcMar>
            <w:vAlign w:val="center"/>
          </w:tcPr>
          <w:p w14:paraId="0DA42A7C">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r>
    </w:tbl>
    <w:p w14:paraId="64437945">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60" w:lineRule="exact"/>
        <w:ind w:right="0" w:rightChars="0"/>
        <w:jc w:val="both"/>
        <w:textAlignment w:val="auto"/>
        <w:rPr>
          <w:rFonts w:hint="eastAsia" w:ascii="黑体" w:hAnsi="黑体" w:eastAsia="黑体" w:cs="黑体"/>
          <w:b w:val="0"/>
          <w:bCs/>
          <w:color w:val="auto"/>
          <w:sz w:val="32"/>
          <w:szCs w:val="32"/>
          <w:lang w:val="en-US" w:eastAsia="zh-CN"/>
        </w:rPr>
      </w:pPr>
      <w:r>
        <w:rPr>
          <w:rStyle w:val="7"/>
          <w:rFonts w:hint="eastAsia" w:ascii="楷体" w:hAnsi="楷体" w:eastAsia="楷体" w:cs="楷体"/>
          <w:spacing w:val="8"/>
          <w:sz w:val="32"/>
          <w:szCs w:val="32"/>
        </w:rPr>
        <w:t> </w:t>
      </w:r>
      <w:r>
        <w:rPr>
          <w:rStyle w:val="7"/>
          <w:rFonts w:hint="eastAsia" w:ascii="楷体" w:hAnsi="楷体" w:eastAsia="楷体" w:cs="楷体"/>
          <w:spacing w:val="8"/>
          <w:sz w:val="32"/>
          <w:szCs w:val="32"/>
          <w:lang w:val="en-US" w:eastAsia="zh-CN"/>
        </w:rPr>
        <w:t xml:space="preserve">   </w:t>
      </w:r>
      <w:r>
        <w:rPr>
          <w:rStyle w:val="7"/>
          <w:rFonts w:hint="eastAsia" w:ascii="黑体" w:hAnsi="黑体" w:eastAsia="黑体" w:cs="黑体"/>
          <w:b w:val="0"/>
          <w:bCs/>
          <w:spacing w:val="8"/>
          <w:sz w:val="32"/>
          <w:szCs w:val="32"/>
        </w:rPr>
        <w:t>四</w:t>
      </w:r>
      <w:r>
        <w:rPr>
          <w:rStyle w:val="7"/>
          <w:rFonts w:hint="eastAsia" w:ascii="黑体" w:hAnsi="黑体" w:eastAsia="黑体" w:cs="黑体"/>
          <w:b w:val="0"/>
          <w:bCs/>
          <w:spacing w:val="8"/>
          <w:sz w:val="32"/>
          <w:szCs w:val="32"/>
          <w:lang w:eastAsia="zh-CN"/>
        </w:rPr>
        <w:t>、</w:t>
      </w:r>
      <w:r>
        <w:rPr>
          <w:rStyle w:val="7"/>
          <w:rFonts w:hint="eastAsia" w:ascii="黑体" w:hAnsi="黑体" w:eastAsia="黑体" w:cs="黑体"/>
          <w:b w:val="0"/>
          <w:bCs/>
          <w:spacing w:val="8"/>
          <w:sz w:val="32"/>
          <w:szCs w:val="32"/>
        </w:rPr>
        <w:t>因政府信息公开工作被申请行政复议、提起行政诉讼情况</w:t>
      </w:r>
    </w:p>
    <w:tbl>
      <w:tblPr>
        <w:tblStyle w:val="5"/>
        <w:tblW w:w="999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64"/>
        <w:gridCol w:w="664"/>
        <w:gridCol w:w="664"/>
        <w:gridCol w:w="664"/>
        <w:gridCol w:w="688"/>
        <w:gridCol w:w="648"/>
        <w:gridCol w:w="665"/>
        <w:gridCol w:w="665"/>
        <w:gridCol w:w="665"/>
        <w:gridCol w:w="674"/>
        <w:gridCol w:w="665"/>
        <w:gridCol w:w="665"/>
        <w:gridCol w:w="665"/>
        <w:gridCol w:w="666"/>
        <w:gridCol w:w="677"/>
      </w:tblGrid>
      <w:tr w14:paraId="3E1AEF2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12" w:hRule="atLeast"/>
          <w:jc w:val="center"/>
        </w:trPr>
        <w:tc>
          <w:tcPr>
            <w:tcW w:w="334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F89BF7F">
            <w:pPr>
              <w:widowControl/>
              <w:jc w:val="center"/>
              <w:rPr>
                <w:rFonts w:ascii="黑体" w:hAnsi="黑体" w:eastAsia="黑体"/>
                <w:color w:val="auto"/>
              </w:rPr>
            </w:pPr>
            <w:r>
              <w:rPr>
                <w:rFonts w:ascii="黑体" w:hAnsi="黑体" w:eastAsia="黑体"/>
                <w:color w:val="auto"/>
                <w:kern w:val="0"/>
                <w:sz w:val="20"/>
                <w:szCs w:val="20"/>
              </w:rPr>
              <w:t>行政复议</w:t>
            </w:r>
          </w:p>
        </w:tc>
        <w:tc>
          <w:tcPr>
            <w:tcW w:w="6655"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940D33F">
            <w:pPr>
              <w:widowControl/>
              <w:jc w:val="center"/>
              <w:rPr>
                <w:rFonts w:ascii="黑体" w:hAnsi="黑体" w:eastAsia="黑体"/>
                <w:color w:val="auto"/>
              </w:rPr>
            </w:pPr>
            <w:r>
              <w:rPr>
                <w:rFonts w:ascii="黑体" w:hAnsi="黑体" w:eastAsia="黑体"/>
                <w:color w:val="auto"/>
                <w:kern w:val="0"/>
                <w:sz w:val="20"/>
                <w:szCs w:val="20"/>
              </w:rPr>
              <w:t>行政诉讼</w:t>
            </w:r>
          </w:p>
        </w:tc>
      </w:tr>
      <w:tr w14:paraId="4315507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08" w:hRule="atLeast"/>
          <w:jc w:val="center"/>
        </w:trPr>
        <w:tc>
          <w:tcPr>
            <w:tcW w:w="66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AC60392">
            <w:pPr>
              <w:widowControl/>
              <w:ind w:left="-149" w:leftChars="-71" w:right="-170" w:rightChars="-81"/>
              <w:jc w:val="center"/>
              <w:rPr>
                <w:rFonts w:ascii="黑体" w:hAnsi="黑体" w:eastAsia="黑体"/>
                <w:color w:val="auto"/>
                <w:kern w:val="0"/>
                <w:sz w:val="20"/>
                <w:szCs w:val="20"/>
              </w:rPr>
            </w:pPr>
            <w:r>
              <w:rPr>
                <w:rFonts w:ascii="黑体" w:hAnsi="黑体" w:eastAsia="黑体"/>
                <w:color w:val="auto"/>
                <w:kern w:val="0"/>
                <w:sz w:val="20"/>
                <w:szCs w:val="20"/>
              </w:rPr>
              <w:t>结果</w:t>
            </w:r>
          </w:p>
          <w:p w14:paraId="4238AE0B">
            <w:pPr>
              <w:widowControl/>
              <w:ind w:left="-149" w:leftChars="-71" w:right="-170" w:rightChars="-81"/>
              <w:jc w:val="center"/>
              <w:rPr>
                <w:rFonts w:ascii="黑体" w:hAnsi="黑体" w:eastAsia="黑体"/>
                <w:color w:val="auto"/>
              </w:rPr>
            </w:pPr>
            <w:r>
              <w:rPr>
                <w:rFonts w:ascii="黑体" w:hAnsi="黑体" w:eastAsia="黑体"/>
                <w:color w:val="auto"/>
                <w:kern w:val="0"/>
                <w:sz w:val="20"/>
                <w:szCs w:val="20"/>
              </w:rPr>
              <w:t>维持</w:t>
            </w:r>
          </w:p>
        </w:tc>
        <w:tc>
          <w:tcPr>
            <w:tcW w:w="66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1BEEDB89">
            <w:pPr>
              <w:widowControl/>
              <w:ind w:left="-43" w:leftChars="-21" w:right="-132" w:rightChars="-63" w:hanging="1"/>
              <w:jc w:val="center"/>
              <w:rPr>
                <w:rFonts w:ascii="黑体" w:hAnsi="黑体" w:eastAsia="黑体"/>
                <w:color w:val="auto"/>
                <w:kern w:val="0"/>
                <w:sz w:val="20"/>
                <w:szCs w:val="20"/>
              </w:rPr>
            </w:pPr>
            <w:r>
              <w:rPr>
                <w:rFonts w:ascii="黑体" w:hAnsi="黑体" w:eastAsia="黑体"/>
                <w:color w:val="auto"/>
                <w:kern w:val="0"/>
                <w:sz w:val="20"/>
                <w:szCs w:val="20"/>
              </w:rPr>
              <w:t>结果</w:t>
            </w:r>
          </w:p>
          <w:p w14:paraId="2575BE89">
            <w:pPr>
              <w:widowControl/>
              <w:ind w:left="-43" w:leftChars="-21" w:right="-132" w:rightChars="-63" w:hanging="1"/>
              <w:jc w:val="center"/>
              <w:rPr>
                <w:rFonts w:ascii="黑体" w:hAnsi="黑体" w:eastAsia="黑体"/>
                <w:color w:val="auto"/>
              </w:rPr>
            </w:pPr>
            <w:r>
              <w:rPr>
                <w:rFonts w:ascii="黑体" w:hAnsi="黑体" w:eastAsia="黑体"/>
                <w:color w:val="auto"/>
                <w:kern w:val="0"/>
                <w:sz w:val="20"/>
                <w:szCs w:val="20"/>
              </w:rPr>
              <w:t>纠正</w:t>
            </w:r>
          </w:p>
        </w:tc>
        <w:tc>
          <w:tcPr>
            <w:tcW w:w="66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A4A9591">
            <w:pPr>
              <w:widowControl/>
              <w:ind w:left="-82" w:leftChars="-39" w:right="-97" w:rightChars="-46"/>
              <w:jc w:val="center"/>
              <w:rPr>
                <w:rFonts w:ascii="黑体" w:hAnsi="黑体" w:eastAsia="黑体"/>
                <w:color w:val="auto"/>
                <w:kern w:val="0"/>
                <w:sz w:val="20"/>
                <w:szCs w:val="20"/>
              </w:rPr>
            </w:pPr>
            <w:r>
              <w:rPr>
                <w:rFonts w:ascii="黑体" w:hAnsi="黑体" w:eastAsia="黑体"/>
                <w:color w:val="auto"/>
                <w:kern w:val="0"/>
                <w:sz w:val="20"/>
                <w:szCs w:val="20"/>
              </w:rPr>
              <w:t>其他</w:t>
            </w:r>
          </w:p>
          <w:p w14:paraId="5D8A1153">
            <w:pPr>
              <w:widowControl/>
              <w:ind w:left="-82" w:leftChars="-39" w:right="-97" w:rightChars="-46"/>
              <w:jc w:val="center"/>
              <w:rPr>
                <w:rFonts w:ascii="黑体" w:hAnsi="黑体" w:eastAsia="黑体"/>
                <w:color w:val="auto"/>
              </w:rPr>
            </w:pPr>
            <w:r>
              <w:rPr>
                <w:rFonts w:ascii="黑体" w:hAnsi="黑体" w:eastAsia="黑体"/>
                <w:color w:val="auto"/>
                <w:kern w:val="0"/>
                <w:sz w:val="20"/>
                <w:szCs w:val="20"/>
              </w:rPr>
              <w:t>结果</w:t>
            </w:r>
          </w:p>
        </w:tc>
        <w:tc>
          <w:tcPr>
            <w:tcW w:w="66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15A1177">
            <w:pPr>
              <w:widowControl/>
              <w:ind w:left="-118" w:leftChars="-56" w:right="-118" w:rightChars="-56"/>
              <w:jc w:val="center"/>
              <w:rPr>
                <w:rFonts w:ascii="黑体" w:hAnsi="黑体" w:eastAsia="黑体"/>
                <w:color w:val="auto"/>
                <w:kern w:val="0"/>
                <w:sz w:val="20"/>
                <w:szCs w:val="20"/>
              </w:rPr>
            </w:pPr>
            <w:r>
              <w:rPr>
                <w:rFonts w:ascii="黑体" w:hAnsi="黑体" w:eastAsia="黑体"/>
                <w:color w:val="auto"/>
                <w:kern w:val="0"/>
                <w:sz w:val="20"/>
                <w:szCs w:val="20"/>
              </w:rPr>
              <w:t>尚未</w:t>
            </w:r>
          </w:p>
          <w:p w14:paraId="178B38DF">
            <w:pPr>
              <w:widowControl/>
              <w:ind w:left="-118" w:leftChars="-56" w:right="-118" w:rightChars="-56"/>
              <w:jc w:val="center"/>
              <w:rPr>
                <w:rFonts w:ascii="黑体" w:hAnsi="黑体" w:eastAsia="黑体"/>
                <w:color w:val="auto"/>
              </w:rPr>
            </w:pPr>
            <w:r>
              <w:rPr>
                <w:rFonts w:ascii="黑体" w:hAnsi="黑体" w:eastAsia="黑体"/>
                <w:color w:val="auto"/>
                <w:kern w:val="0"/>
                <w:sz w:val="20"/>
                <w:szCs w:val="20"/>
              </w:rPr>
              <w:t>审结</w:t>
            </w:r>
          </w:p>
        </w:tc>
        <w:tc>
          <w:tcPr>
            <w:tcW w:w="68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313C7BB">
            <w:pPr>
              <w:widowControl/>
              <w:spacing w:line="320" w:lineRule="exact"/>
              <w:jc w:val="center"/>
              <w:rPr>
                <w:rFonts w:ascii="黑体" w:hAnsi="黑体" w:eastAsia="黑体"/>
                <w:color w:val="auto"/>
              </w:rPr>
            </w:pPr>
            <w:r>
              <w:rPr>
                <w:rFonts w:ascii="黑体" w:hAnsi="黑体" w:eastAsia="黑体"/>
                <w:color w:val="auto"/>
                <w:kern w:val="0"/>
                <w:sz w:val="20"/>
                <w:szCs w:val="20"/>
              </w:rPr>
              <w:t>总计</w:t>
            </w:r>
          </w:p>
        </w:tc>
        <w:tc>
          <w:tcPr>
            <w:tcW w:w="331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65E6ED0">
            <w:pPr>
              <w:widowControl/>
              <w:jc w:val="center"/>
              <w:rPr>
                <w:rFonts w:ascii="黑体" w:hAnsi="黑体" w:eastAsia="黑体"/>
                <w:color w:val="auto"/>
              </w:rPr>
            </w:pPr>
            <w:r>
              <w:rPr>
                <w:rFonts w:ascii="黑体" w:hAnsi="黑体" w:eastAsia="黑体"/>
                <w:color w:val="auto"/>
                <w:kern w:val="0"/>
                <w:sz w:val="20"/>
                <w:szCs w:val="20"/>
              </w:rPr>
              <w:t>未经复议直接起诉</w:t>
            </w:r>
          </w:p>
        </w:tc>
        <w:tc>
          <w:tcPr>
            <w:tcW w:w="3338"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04CC5C4">
            <w:pPr>
              <w:widowControl/>
              <w:jc w:val="center"/>
              <w:rPr>
                <w:rFonts w:ascii="黑体" w:hAnsi="黑体" w:eastAsia="黑体"/>
                <w:color w:val="auto"/>
              </w:rPr>
            </w:pPr>
            <w:bookmarkStart w:id="9" w:name="_Hlk67039688"/>
            <w:r>
              <w:rPr>
                <w:rFonts w:ascii="黑体" w:hAnsi="黑体" w:eastAsia="黑体"/>
                <w:color w:val="auto"/>
                <w:kern w:val="0"/>
                <w:sz w:val="20"/>
                <w:szCs w:val="20"/>
              </w:rPr>
              <w:t>复议后起诉</w:t>
            </w:r>
            <w:bookmarkEnd w:id="9"/>
          </w:p>
        </w:tc>
      </w:tr>
      <w:tr w14:paraId="4A1B0F1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23" w:hRule="atLeast"/>
          <w:jc w:val="center"/>
        </w:trPr>
        <w:tc>
          <w:tcPr>
            <w:tcW w:w="66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9A5281A">
            <w:pPr>
              <w:jc w:val="center"/>
              <w:rPr>
                <w:rFonts w:ascii="黑体" w:hAnsi="黑体" w:eastAsia="黑体"/>
                <w:color w:val="auto"/>
                <w:sz w:val="24"/>
              </w:rPr>
            </w:pPr>
          </w:p>
        </w:tc>
        <w:tc>
          <w:tcPr>
            <w:tcW w:w="66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08C3CA1B">
            <w:pPr>
              <w:jc w:val="center"/>
              <w:rPr>
                <w:rFonts w:ascii="黑体" w:hAnsi="黑体" w:eastAsia="黑体"/>
                <w:color w:val="auto"/>
                <w:sz w:val="24"/>
              </w:rPr>
            </w:pPr>
          </w:p>
        </w:tc>
        <w:tc>
          <w:tcPr>
            <w:tcW w:w="66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7BE4EF4">
            <w:pPr>
              <w:jc w:val="center"/>
              <w:rPr>
                <w:rFonts w:ascii="黑体" w:hAnsi="黑体" w:eastAsia="黑体"/>
                <w:color w:val="auto"/>
                <w:sz w:val="24"/>
              </w:rPr>
            </w:pPr>
          </w:p>
        </w:tc>
        <w:tc>
          <w:tcPr>
            <w:tcW w:w="66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4512058">
            <w:pPr>
              <w:jc w:val="center"/>
              <w:rPr>
                <w:rFonts w:ascii="黑体" w:hAnsi="黑体" w:eastAsia="黑体"/>
                <w:color w:val="auto"/>
                <w:sz w:val="24"/>
              </w:rPr>
            </w:pPr>
          </w:p>
        </w:tc>
        <w:tc>
          <w:tcPr>
            <w:tcW w:w="68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1A26D7D">
            <w:pPr>
              <w:jc w:val="center"/>
              <w:rPr>
                <w:rFonts w:ascii="黑体" w:hAnsi="黑体" w:eastAsia="黑体"/>
                <w:color w:val="auto"/>
                <w:sz w:val="24"/>
              </w:rPr>
            </w:pPr>
          </w:p>
        </w:tc>
        <w:tc>
          <w:tcPr>
            <w:tcW w:w="648" w:type="dxa"/>
            <w:tcBorders>
              <w:top w:val="nil"/>
              <w:left w:val="nil"/>
              <w:bottom w:val="single" w:color="auto" w:sz="8" w:space="0"/>
              <w:right w:val="single" w:color="auto" w:sz="8" w:space="0"/>
            </w:tcBorders>
            <w:shd w:val="clear" w:color="auto" w:fill="auto"/>
            <w:tcMar>
              <w:left w:w="108" w:type="dxa"/>
              <w:right w:w="108" w:type="dxa"/>
            </w:tcMar>
            <w:vAlign w:val="center"/>
          </w:tcPr>
          <w:p w14:paraId="78DD17D0">
            <w:pPr>
              <w:widowControl/>
              <w:ind w:left="-105" w:leftChars="-50" w:right="-126" w:rightChars="-60"/>
              <w:jc w:val="center"/>
              <w:rPr>
                <w:rFonts w:ascii="黑体" w:hAnsi="黑体" w:eastAsia="黑体"/>
                <w:color w:val="auto"/>
                <w:kern w:val="0"/>
                <w:sz w:val="20"/>
                <w:szCs w:val="20"/>
              </w:rPr>
            </w:pPr>
            <w:r>
              <w:rPr>
                <w:rFonts w:ascii="黑体" w:hAnsi="黑体" w:eastAsia="黑体"/>
                <w:color w:val="auto"/>
                <w:kern w:val="0"/>
                <w:sz w:val="20"/>
                <w:szCs w:val="20"/>
              </w:rPr>
              <w:t>结果</w:t>
            </w:r>
          </w:p>
          <w:p w14:paraId="2F6990E4">
            <w:pPr>
              <w:widowControl/>
              <w:ind w:left="-105" w:leftChars="-50" w:right="-126" w:rightChars="-60"/>
              <w:jc w:val="center"/>
              <w:rPr>
                <w:rFonts w:ascii="黑体" w:hAnsi="黑体" w:eastAsia="黑体"/>
                <w:color w:val="auto"/>
              </w:rPr>
            </w:pPr>
            <w:r>
              <w:rPr>
                <w:rFonts w:ascii="黑体" w:hAnsi="黑体" w:eastAsia="黑体"/>
                <w:color w:val="auto"/>
                <w:kern w:val="0"/>
                <w:sz w:val="20"/>
                <w:szCs w:val="20"/>
              </w:rPr>
              <w:t>维持</w:t>
            </w:r>
          </w:p>
        </w:tc>
        <w:tc>
          <w:tcPr>
            <w:tcW w:w="665" w:type="dxa"/>
            <w:tcBorders>
              <w:top w:val="nil"/>
              <w:left w:val="nil"/>
              <w:bottom w:val="single" w:color="auto" w:sz="8" w:space="0"/>
              <w:right w:val="single" w:color="auto" w:sz="8" w:space="0"/>
            </w:tcBorders>
            <w:shd w:val="clear" w:color="auto" w:fill="auto"/>
            <w:tcMar>
              <w:left w:w="108" w:type="dxa"/>
              <w:right w:w="108" w:type="dxa"/>
            </w:tcMar>
            <w:vAlign w:val="center"/>
          </w:tcPr>
          <w:p w14:paraId="69E5126F">
            <w:pPr>
              <w:widowControl/>
              <w:ind w:left="-86" w:leftChars="-41" w:right="-88" w:rightChars="-42"/>
              <w:jc w:val="center"/>
              <w:rPr>
                <w:rFonts w:ascii="黑体" w:hAnsi="黑体" w:eastAsia="黑体"/>
                <w:color w:val="auto"/>
                <w:kern w:val="0"/>
                <w:sz w:val="20"/>
                <w:szCs w:val="20"/>
              </w:rPr>
            </w:pPr>
            <w:r>
              <w:rPr>
                <w:rFonts w:ascii="黑体" w:hAnsi="黑体" w:eastAsia="黑体"/>
                <w:color w:val="auto"/>
                <w:kern w:val="0"/>
                <w:sz w:val="20"/>
                <w:szCs w:val="20"/>
              </w:rPr>
              <w:t>结果</w:t>
            </w:r>
          </w:p>
          <w:p w14:paraId="2CF5C384">
            <w:pPr>
              <w:widowControl/>
              <w:ind w:left="-86" w:leftChars="-41" w:right="-88" w:rightChars="-42"/>
              <w:jc w:val="center"/>
              <w:rPr>
                <w:rFonts w:ascii="黑体" w:hAnsi="黑体" w:eastAsia="黑体"/>
                <w:color w:val="auto"/>
              </w:rPr>
            </w:pPr>
            <w:r>
              <w:rPr>
                <w:rFonts w:ascii="黑体" w:hAnsi="黑体" w:eastAsia="黑体"/>
                <w:color w:val="auto"/>
                <w:kern w:val="0"/>
                <w:sz w:val="20"/>
                <w:szCs w:val="20"/>
              </w:rPr>
              <w:t>纠正</w:t>
            </w:r>
          </w:p>
        </w:tc>
        <w:tc>
          <w:tcPr>
            <w:tcW w:w="66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EF3C411">
            <w:pPr>
              <w:widowControl/>
              <w:ind w:left="-126" w:leftChars="-60" w:right="-136" w:rightChars="-65"/>
              <w:jc w:val="center"/>
              <w:rPr>
                <w:rFonts w:ascii="黑体" w:hAnsi="黑体" w:eastAsia="黑体"/>
                <w:color w:val="auto"/>
                <w:kern w:val="0"/>
                <w:sz w:val="20"/>
                <w:szCs w:val="20"/>
              </w:rPr>
            </w:pPr>
            <w:r>
              <w:rPr>
                <w:rFonts w:ascii="黑体" w:hAnsi="黑体" w:eastAsia="黑体"/>
                <w:color w:val="auto"/>
                <w:kern w:val="0"/>
                <w:sz w:val="20"/>
                <w:szCs w:val="20"/>
              </w:rPr>
              <w:t>其他</w:t>
            </w:r>
          </w:p>
          <w:p w14:paraId="38AA6C04">
            <w:pPr>
              <w:widowControl/>
              <w:ind w:left="-126" w:leftChars="-60" w:right="-136" w:rightChars="-65"/>
              <w:jc w:val="center"/>
              <w:rPr>
                <w:rFonts w:ascii="黑体" w:hAnsi="黑体" w:eastAsia="黑体"/>
                <w:color w:val="auto"/>
              </w:rPr>
            </w:pPr>
            <w:r>
              <w:rPr>
                <w:rFonts w:ascii="黑体" w:hAnsi="黑体" w:eastAsia="黑体"/>
                <w:color w:val="auto"/>
                <w:kern w:val="0"/>
                <w:sz w:val="20"/>
                <w:szCs w:val="20"/>
              </w:rPr>
              <w:t>结果</w:t>
            </w:r>
          </w:p>
        </w:tc>
        <w:tc>
          <w:tcPr>
            <w:tcW w:w="66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24FBFB3">
            <w:pPr>
              <w:widowControl/>
              <w:ind w:left="-164" w:leftChars="-78" w:right="-153" w:rightChars="-73"/>
              <w:jc w:val="center"/>
              <w:rPr>
                <w:rFonts w:ascii="黑体" w:hAnsi="黑体" w:eastAsia="黑体"/>
                <w:color w:val="auto"/>
                <w:kern w:val="0"/>
                <w:sz w:val="20"/>
                <w:szCs w:val="20"/>
              </w:rPr>
            </w:pPr>
            <w:r>
              <w:rPr>
                <w:rFonts w:ascii="黑体" w:hAnsi="黑体" w:eastAsia="黑体"/>
                <w:color w:val="auto"/>
                <w:kern w:val="0"/>
                <w:sz w:val="20"/>
                <w:szCs w:val="20"/>
              </w:rPr>
              <w:t>尚未</w:t>
            </w:r>
          </w:p>
          <w:p w14:paraId="77A29488">
            <w:pPr>
              <w:widowControl/>
              <w:ind w:left="-164" w:leftChars="-78" w:right="-153" w:rightChars="-73"/>
              <w:jc w:val="center"/>
              <w:rPr>
                <w:rFonts w:ascii="黑体" w:hAnsi="黑体" w:eastAsia="黑体"/>
                <w:color w:val="auto"/>
              </w:rPr>
            </w:pPr>
            <w:r>
              <w:rPr>
                <w:rFonts w:ascii="黑体" w:hAnsi="黑体" w:eastAsia="黑体"/>
                <w:color w:val="auto"/>
                <w:kern w:val="0"/>
                <w:sz w:val="20"/>
                <w:szCs w:val="20"/>
              </w:rPr>
              <w:t>审结</w:t>
            </w:r>
          </w:p>
        </w:tc>
        <w:tc>
          <w:tcPr>
            <w:tcW w:w="674"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E42D9E8">
            <w:pPr>
              <w:widowControl/>
              <w:jc w:val="center"/>
              <w:rPr>
                <w:rFonts w:ascii="黑体" w:hAnsi="黑体" w:eastAsia="黑体"/>
                <w:color w:val="auto"/>
              </w:rPr>
            </w:pPr>
            <w:r>
              <w:rPr>
                <w:rFonts w:ascii="黑体" w:hAnsi="黑体" w:eastAsia="黑体"/>
                <w:color w:val="auto"/>
                <w:kern w:val="0"/>
                <w:sz w:val="20"/>
                <w:szCs w:val="20"/>
              </w:rPr>
              <w:t>总计</w:t>
            </w:r>
          </w:p>
        </w:tc>
        <w:tc>
          <w:tcPr>
            <w:tcW w:w="66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D2404DC">
            <w:pPr>
              <w:widowControl/>
              <w:ind w:left="-99" w:leftChars="-47" w:right="-78" w:rightChars="-37"/>
              <w:jc w:val="center"/>
              <w:rPr>
                <w:rFonts w:ascii="黑体" w:hAnsi="黑体" w:eastAsia="黑体"/>
                <w:color w:val="auto"/>
                <w:kern w:val="0"/>
                <w:sz w:val="20"/>
                <w:szCs w:val="20"/>
              </w:rPr>
            </w:pPr>
            <w:r>
              <w:rPr>
                <w:rFonts w:ascii="黑体" w:hAnsi="黑体" w:eastAsia="黑体"/>
                <w:color w:val="auto"/>
                <w:kern w:val="0"/>
                <w:sz w:val="20"/>
                <w:szCs w:val="20"/>
              </w:rPr>
              <w:t>结果</w:t>
            </w:r>
          </w:p>
          <w:p w14:paraId="7B982921">
            <w:pPr>
              <w:widowControl/>
              <w:ind w:left="-99" w:leftChars="-47" w:right="-78" w:rightChars="-37"/>
              <w:jc w:val="center"/>
              <w:rPr>
                <w:rFonts w:ascii="黑体" w:hAnsi="黑体" w:eastAsia="黑体"/>
                <w:color w:val="auto"/>
              </w:rPr>
            </w:pPr>
            <w:r>
              <w:rPr>
                <w:rFonts w:ascii="黑体" w:hAnsi="黑体" w:eastAsia="黑体"/>
                <w:color w:val="auto"/>
                <w:kern w:val="0"/>
                <w:sz w:val="20"/>
                <w:szCs w:val="20"/>
              </w:rPr>
              <w:t>维持</w:t>
            </w:r>
          </w:p>
        </w:tc>
        <w:tc>
          <w:tcPr>
            <w:tcW w:w="66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03E50EE">
            <w:pPr>
              <w:widowControl/>
              <w:ind w:left="-136" w:leftChars="-65" w:right="-124" w:rightChars="-59"/>
              <w:jc w:val="center"/>
              <w:rPr>
                <w:rFonts w:ascii="黑体" w:hAnsi="黑体" w:eastAsia="黑体"/>
                <w:color w:val="auto"/>
                <w:kern w:val="0"/>
                <w:sz w:val="20"/>
                <w:szCs w:val="20"/>
              </w:rPr>
            </w:pPr>
            <w:r>
              <w:rPr>
                <w:rFonts w:ascii="黑体" w:hAnsi="黑体" w:eastAsia="黑体"/>
                <w:color w:val="auto"/>
                <w:kern w:val="0"/>
                <w:sz w:val="20"/>
                <w:szCs w:val="20"/>
              </w:rPr>
              <w:t>结果</w:t>
            </w:r>
          </w:p>
          <w:p w14:paraId="799D719A">
            <w:pPr>
              <w:widowControl/>
              <w:ind w:left="-136" w:leftChars="-65" w:right="-124" w:rightChars="-59"/>
              <w:jc w:val="center"/>
              <w:rPr>
                <w:rFonts w:ascii="黑体" w:hAnsi="黑体" w:eastAsia="黑体"/>
                <w:color w:val="auto"/>
              </w:rPr>
            </w:pPr>
            <w:r>
              <w:rPr>
                <w:rFonts w:ascii="黑体" w:hAnsi="黑体" w:eastAsia="黑体"/>
                <w:color w:val="auto"/>
                <w:kern w:val="0"/>
                <w:sz w:val="20"/>
                <w:szCs w:val="20"/>
              </w:rPr>
              <w:t>纠正</w:t>
            </w:r>
          </w:p>
        </w:tc>
        <w:tc>
          <w:tcPr>
            <w:tcW w:w="66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FCF73A0">
            <w:pPr>
              <w:widowControl/>
              <w:ind w:left="-173" w:leftChars="-83" w:right="-134" w:rightChars="-64" w:hanging="1"/>
              <w:jc w:val="center"/>
              <w:rPr>
                <w:rFonts w:ascii="黑体" w:hAnsi="黑体" w:eastAsia="黑体"/>
                <w:color w:val="auto"/>
                <w:kern w:val="0"/>
                <w:sz w:val="20"/>
                <w:szCs w:val="20"/>
              </w:rPr>
            </w:pPr>
            <w:r>
              <w:rPr>
                <w:rFonts w:ascii="黑体" w:hAnsi="黑体" w:eastAsia="黑体"/>
                <w:color w:val="auto"/>
                <w:kern w:val="0"/>
                <w:sz w:val="20"/>
                <w:szCs w:val="20"/>
              </w:rPr>
              <w:t>其他</w:t>
            </w:r>
          </w:p>
          <w:p w14:paraId="6BD9848B">
            <w:pPr>
              <w:widowControl/>
              <w:ind w:left="-173" w:leftChars="-83" w:right="-134" w:rightChars="-64" w:hanging="1"/>
              <w:jc w:val="center"/>
              <w:rPr>
                <w:rFonts w:ascii="黑体" w:hAnsi="黑体" w:eastAsia="黑体"/>
                <w:color w:val="auto"/>
              </w:rPr>
            </w:pPr>
            <w:r>
              <w:rPr>
                <w:rFonts w:ascii="黑体" w:hAnsi="黑体" w:eastAsia="黑体"/>
                <w:color w:val="auto"/>
                <w:kern w:val="0"/>
                <w:sz w:val="20"/>
                <w:szCs w:val="20"/>
              </w:rPr>
              <w:t>结果</w:t>
            </w:r>
          </w:p>
        </w:tc>
        <w:tc>
          <w:tcPr>
            <w:tcW w:w="66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6408689">
            <w:pPr>
              <w:widowControl/>
              <w:ind w:left="-67" w:leftChars="-33" w:right="-105" w:rightChars="-50" w:hanging="2" w:hangingChars="1"/>
              <w:jc w:val="center"/>
              <w:rPr>
                <w:rFonts w:ascii="黑体" w:hAnsi="黑体" w:eastAsia="黑体"/>
                <w:color w:val="auto"/>
                <w:kern w:val="0"/>
                <w:sz w:val="20"/>
                <w:szCs w:val="20"/>
              </w:rPr>
            </w:pPr>
            <w:r>
              <w:rPr>
                <w:rFonts w:ascii="黑体" w:hAnsi="黑体" w:eastAsia="黑体"/>
                <w:color w:val="auto"/>
                <w:kern w:val="0"/>
                <w:sz w:val="20"/>
                <w:szCs w:val="20"/>
              </w:rPr>
              <w:t>尚未</w:t>
            </w:r>
          </w:p>
          <w:p w14:paraId="560285CD">
            <w:pPr>
              <w:widowControl/>
              <w:ind w:left="-67" w:leftChars="-33" w:right="-105" w:rightChars="-50" w:hanging="2" w:hangingChars="1"/>
              <w:jc w:val="center"/>
              <w:rPr>
                <w:rFonts w:ascii="黑体" w:hAnsi="黑体" w:eastAsia="黑体"/>
                <w:color w:val="auto"/>
              </w:rPr>
            </w:pPr>
            <w:r>
              <w:rPr>
                <w:rFonts w:ascii="黑体" w:hAnsi="黑体" w:eastAsia="黑体"/>
                <w:color w:val="auto"/>
                <w:kern w:val="0"/>
                <w:sz w:val="20"/>
                <w:szCs w:val="20"/>
              </w:rPr>
              <w:t>审结</w:t>
            </w:r>
          </w:p>
        </w:tc>
        <w:tc>
          <w:tcPr>
            <w:tcW w:w="677"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8F7E696">
            <w:pPr>
              <w:widowControl/>
              <w:jc w:val="center"/>
              <w:rPr>
                <w:rFonts w:ascii="黑体" w:hAnsi="黑体" w:eastAsia="黑体"/>
                <w:color w:val="auto"/>
              </w:rPr>
            </w:pPr>
            <w:r>
              <w:rPr>
                <w:rFonts w:ascii="黑体" w:hAnsi="黑体" w:eastAsia="黑体"/>
                <w:color w:val="auto"/>
                <w:kern w:val="0"/>
                <w:sz w:val="20"/>
                <w:szCs w:val="20"/>
              </w:rPr>
              <w:t>总计</w:t>
            </w:r>
          </w:p>
        </w:tc>
      </w:tr>
      <w:tr w14:paraId="21295E5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00" w:hRule="atLeast"/>
          <w:jc w:val="center"/>
        </w:trPr>
        <w:tc>
          <w:tcPr>
            <w:tcW w:w="66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0F2094E">
            <w:pPr>
              <w:widowControl/>
              <w:spacing w:after="180"/>
              <w:jc w:val="center"/>
              <w:rPr>
                <w:rFonts w:hint="eastAsia" w:ascii="Times New Roman" w:hAnsi="Times New Roman" w:eastAsiaTheme="minorEastAsia"/>
                <w:color w:val="auto"/>
                <w:lang w:val="en-US" w:eastAsia="zh-CN"/>
              </w:rPr>
            </w:pPr>
            <w:r>
              <w:rPr>
                <w:rFonts w:hint="eastAsia" w:ascii="Times New Roman" w:hAnsi="Times New Roman"/>
                <w:color w:val="auto"/>
                <w:lang w:val="en-US" w:eastAsia="zh-CN"/>
              </w:rPr>
              <w:t>0</w:t>
            </w:r>
          </w:p>
        </w:tc>
        <w:tc>
          <w:tcPr>
            <w:tcW w:w="664" w:type="dxa"/>
            <w:tcBorders>
              <w:top w:val="nil"/>
              <w:left w:val="nil"/>
              <w:bottom w:val="single" w:color="auto" w:sz="8" w:space="0"/>
              <w:right w:val="single" w:color="auto" w:sz="8" w:space="0"/>
            </w:tcBorders>
            <w:shd w:val="clear" w:color="auto" w:fill="auto"/>
            <w:tcMar>
              <w:left w:w="108" w:type="dxa"/>
              <w:right w:w="108" w:type="dxa"/>
            </w:tcMar>
            <w:vAlign w:val="center"/>
          </w:tcPr>
          <w:p w14:paraId="1A63D38E">
            <w:pPr>
              <w:widowControl/>
              <w:spacing w:after="180"/>
              <w:jc w:val="center"/>
              <w:rPr>
                <w:rFonts w:hint="eastAsia" w:ascii="Times New Roman" w:hAnsi="Times New Roman" w:eastAsiaTheme="minorEastAsia"/>
                <w:color w:val="auto"/>
                <w:lang w:val="en-US" w:eastAsia="zh-CN"/>
              </w:rPr>
            </w:pPr>
            <w:r>
              <w:rPr>
                <w:rFonts w:hint="eastAsia" w:ascii="Times New Roman" w:hAnsi="Times New Roman"/>
                <w:color w:val="auto"/>
                <w:lang w:val="en-US" w:eastAsia="zh-CN"/>
              </w:rPr>
              <w:t>1</w:t>
            </w:r>
          </w:p>
        </w:tc>
        <w:tc>
          <w:tcPr>
            <w:tcW w:w="664" w:type="dxa"/>
            <w:tcBorders>
              <w:top w:val="nil"/>
              <w:left w:val="nil"/>
              <w:bottom w:val="single" w:color="auto" w:sz="8" w:space="0"/>
              <w:right w:val="single" w:color="auto" w:sz="8" w:space="0"/>
            </w:tcBorders>
            <w:shd w:val="clear" w:color="auto" w:fill="auto"/>
            <w:tcMar>
              <w:left w:w="108" w:type="dxa"/>
              <w:right w:w="108" w:type="dxa"/>
            </w:tcMar>
            <w:vAlign w:val="center"/>
          </w:tcPr>
          <w:p w14:paraId="36A24D64">
            <w:pPr>
              <w:widowControl/>
              <w:spacing w:after="180"/>
              <w:jc w:val="center"/>
              <w:rPr>
                <w:rFonts w:hint="eastAsia" w:ascii="Times New Roman" w:hAnsi="Times New Roman" w:eastAsiaTheme="minorEastAsia"/>
                <w:color w:val="auto"/>
                <w:lang w:val="en-US" w:eastAsia="zh-CN"/>
              </w:rPr>
            </w:pPr>
            <w:r>
              <w:rPr>
                <w:rFonts w:hint="eastAsia" w:ascii="Times New Roman" w:hAnsi="Times New Roman"/>
                <w:color w:val="auto"/>
                <w:lang w:val="en-US" w:eastAsia="zh-CN"/>
              </w:rPr>
              <w:t>0</w:t>
            </w:r>
          </w:p>
        </w:tc>
        <w:tc>
          <w:tcPr>
            <w:tcW w:w="664" w:type="dxa"/>
            <w:tcBorders>
              <w:top w:val="nil"/>
              <w:left w:val="nil"/>
              <w:bottom w:val="single" w:color="auto" w:sz="8" w:space="0"/>
              <w:right w:val="single" w:color="auto" w:sz="8" w:space="0"/>
            </w:tcBorders>
            <w:shd w:val="clear" w:color="auto" w:fill="auto"/>
            <w:tcMar>
              <w:left w:w="108" w:type="dxa"/>
              <w:right w:w="108" w:type="dxa"/>
            </w:tcMar>
            <w:vAlign w:val="center"/>
          </w:tcPr>
          <w:p w14:paraId="5D5A4683">
            <w:pPr>
              <w:widowControl/>
              <w:spacing w:after="180"/>
              <w:jc w:val="center"/>
              <w:rPr>
                <w:rFonts w:hint="eastAsia" w:ascii="Times New Roman" w:hAnsi="Times New Roman" w:eastAsiaTheme="minorEastAsia"/>
                <w:color w:val="auto"/>
                <w:lang w:val="en-US" w:eastAsia="zh-CN"/>
              </w:rPr>
            </w:pPr>
            <w:r>
              <w:rPr>
                <w:rFonts w:hint="eastAsia" w:ascii="Times New Roman" w:hAnsi="Times New Roman"/>
                <w:color w:val="auto"/>
                <w:lang w:val="en-US" w:eastAsia="zh-CN"/>
              </w:rPr>
              <w:t>0</w:t>
            </w:r>
          </w:p>
        </w:tc>
        <w:tc>
          <w:tcPr>
            <w:tcW w:w="688" w:type="dxa"/>
            <w:tcBorders>
              <w:top w:val="nil"/>
              <w:left w:val="nil"/>
              <w:bottom w:val="single" w:color="auto" w:sz="8" w:space="0"/>
              <w:right w:val="single" w:color="auto" w:sz="8" w:space="0"/>
            </w:tcBorders>
            <w:shd w:val="clear" w:color="auto" w:fill="auto"/>
            <w:tcMar>
              <w:left w:w="108" w:type="dxa"/>
              <w:right w:w="108" w:type="dxa"/>
            </w:tcMar>
            <w:vAlign w:val="center"/>
          </w:tcPr>
          <w:p w14:paraId="3AFDCCBC">
            <w:pPr>
              <w:widowControl/>
              <w:spacing w:after="180"/>
              <w:jc w:val="center"/>
              <w:rPr>
                <w:rFonts w:hint="eastAsia" w:ascii="Times New Roman" w:hAnsi="Times New Roman" w:eastAsiaTheme="minorEastAsia"/>
                <w:color w:val="auto"/>
                <w:lang w:val="en-US" w:eastAsia="zh-CN"/>
              </w:rPr>
            </w:pPr>
            <w:r>
              <w:rPr>
                <w:rFonts w:hint="eastAsia" w:ascii="Times New Roman" w:hAnsi="Times New Roman"/>
                <w:color w:val="auto"/>
                <w:lang w:val="en-US" w:eastAsia="zh-CN"/>
              </w:rPr>
              <w:t>1</w:t>
            </w:r>
          </w:p>
        </w:tc>
        <w:tc>
          <w:tcPr>
            <w:tcW w:w="648" w:type="dxa"/>
            <w:tcBorders>
              <w:top w:val="nil"/>
              <w:left w:val="nil"/>
              <w:bottom w:val="single" w:color="auto" w:sz="8" w:space="0"/>
              <w:right w:val="single" w:color="auto" w:sz="8" w:space="0"/>
            </w:tcBorders>
            <w:shd w:val="clear" w:color="auto" w:fill="auto"/>
            <w:tcMar>
              <w:left w:w="108" w:type="dxa"/>
              <w:right w:w="108" w:type="dxa"/>
            </w:tcMar>
            <w:vAlign w:val="center"/>
          </w:tcPr>
          <w:p w14:paraId="681FF844">
            <w:pPr>
              <w:widowControl/>
              <w:spacing w:after="180"/>
              <w:jc w:val="center"/>
              <w:rPr>
                <w:rFonts w:hint="eastAsia" w:ascii="Times New Roman" w:hAnsi="Times New Roman" w:eastAsiaTheme="minorEastAsia"/>
                <w:color w:val="auto"/>
                <w:lang w:val="en-US" w:eastAsia="zh-CN"/>
              </w:rPr>
            </w:pPr>
            <w:r>
              <w:rPr>
                <w:rFonts w:hint="eastAsia" w:ascii="Times New Roman" w:hAnsi="Times New Roman"/>
                <w:color w:val="auto"/>
                <w:lang w:val="en-US" w:eastAsia="zh-CN"/>
              </w:rPr>
              <w:t>0</w:t>
            </w:r>
          </w:p>
        </w:tc>
        <w:tc>
          <w:tcPr>
            <w:tcW w:w="665" w:type="dxa"/>
            <w:tcBorders>
              <w:top w:val="nil"/>
              <w:left w:val="nil"/>
              <w:bottom w:val="single" w:color="auto" w:sz="8" w:space="0"/>
              <w:right w:val="single" w:color="auto" w:sz="8" w:space="0"/>
            </w:tcBorders>
            <w:shd w:val="clear" w:color="auto" w:fill="auto"/>
            <w:tcMar>
              <w:left w:w="108" w:type="dxa"/>
              <w:right w:w="108" w:type="dxa"/>
            </w:tcMar>
            <w:vAlign w:val="center"/>
          </w:tcPr>
          <w:p w14:paraId="664567D1">
            <w:pPr>
              <w:widowControl/>
              <w:spacing w:after="180"/>
              <w:jc w:val="center"/>
              <w:rPr>
                <w:rFonts w:hint="eastAsia" w:ascii="Times New Roman" w:hAnsi="Times New Roman" w:eastAsiaTheme="minorEastAsia"/>
                <w:color w:val="auto"/>
                <w:lang w:val="en-US" w:eastAsia="zh-CN"/>
              </w:rPr>
            </w:pPr>
            <w:r>
              <w:rPr>
                <w:rFonts w:hint="eastAsia" w:ascii="Times New Roman" w:hAnsi="Times New Roman"/>
                <w:color w:val="auto"/>
                <w:lang w:val="en-US" w:eastAsia="zh-CN"/>
              </w:rPr>
              <w:t>0</w:t>
            </w:r>
          </w:p>
        </w:tc>
        <w:tc>
          <w:tcPr>
            <w:tcW w:w="665" w:type="dxa"/>
            <w:tcBorders>
              <w:top w:val="nil"/>
              <w:left w:val="nil"/>
              <w:bottom w:val="single" w:color="auto" w:sz="8" w:space="0"/>
              <w:right w:val="single" w:color="auto" w:sz="8" w:space="0"/>
            </w:tcBorders>
            <w:shd w:val="clear" w:color="auto" w:fill="auto"/>
            <w:tcMar>
              <w:left w:w="108" w:type="dxa"/>
              <w:right w:w="108" w:type="dxa"/>
            </w:tcMar>
            <w:vAlign w:val="center"/>
          </w:tcPr>
          <w:p w14:paraId="5BF32FC2">
            <w:pPr>
              <w:widowControl/>
              <w:spacing w:after="180"/>
              <w:jc w:val="center"/>
              <w:rPr>
                <w:rFonts w:hint="eastAsia" w:ascii="Times New Roman" w:hAnsi="Times New Roman" w:eastAsiaTheme="minorEastAsia"/>
                <w:color w:val="auto"/>
                <w:lang w:val="en-US" w:eastAsia="zh-CN"/>
              </w:rPr>
            </w:pPr>
            <w:r>
              <w:rPr>
                <w:rFonts w:hint="eastAsia" w:ascii="Times New Roman" w:hAnsi="Times New Roman"/>
                <w:color w:val="auto"/>
                <w:lang w:val="en-US" w:eastAsia="zh-CN"/>
              </w:rPr>
              <w:t>0</w:t>
            </w:r>
          </w:p>
        </w:tc>
        <w:tc>
          <w:tcPr>
            <w:tcW w:w="665" w:type="dxa"/>
            <w:tcBorders>
              <w:top w:val="nil"/>
              <w:left w:val="nil"/>
              <w:bottom w:val="single" w:color="auto" w:sz="8" w:space="0"/>
              <w:right w:val="single" w:color="auto" w:sz="8" w:space="0"/>
            </w:tcBorders>
            <w:shd w:val="clear" w:color="auto" w:fill="auto"/>
            <w:tcMar>
              <w:left w:w="108" w:type="dxa"/>
              <w:right w:w="108" w:type="dxa"/>
            </w:tcMar>
            <w:vAlign w:val="center"/>
          </w:tcPr>
          <w:p w14:paraId="45144C69">
            <w:pPr>
              <w:widowControl/>
              <w:spacing w:after="180"/>
              <w:jc w:val="center"/>
              <w:rPr>
                <w:rFonts w:hint="eastAsia" w:ascii="Times New Roman" w:hAnsi="Times New Roman" w:eastAsiaTheme="minorEastAsia"/>
                <w:color w:val="auto"/>
                <w:lang w:val="en-US" w:eastAsia="zh-CN"/>
              </w:rPr>
            </w:pPr>
            <w:r>
              <w:rPr>
                <w:rFonts w:hint="eastAsia" w:ascii="Times New Roman" w:hAnsi="Times New Roman"/>
                <w:color w:val="auto"/>
                <w:lang w:val="en-US" w:eastAsia="zh-CN"/>
              </w:rPr>
              <w:t>0</w:t>
            </w:r>
          </w:p>
        </w:tc>
        <w:tc>
          <w:tcPr>
            <w:tcW w:w="674" w:type="dxa"/>
            <w:tcBorders>
              <w:top w:val="nil"/>
              <w:left w:val="nil"/>
              <w:bottom w:val="single" w:color="auto" w:sz="8" w:space="0"/>
              <w:right w:val="single" w:color="auto" w:sz="8" w:space="0"/>
            </w:tcBorders>
            <w:shd w:val="clear" w:color="auto" w:fill="auto"/>
            <w:tcMar>
              <w:left w:w="108" w:type="dxa"/>
              <w:right w:w="108" w:type="dxa"/>
            </w:tcMar>
            <w:vAlign w:val="center"/>
          </w:tcPr>
          <w:p w14:paraId="0B9D97C2">
            <w:pPr>
              <w:widowControl/>
              <w:spacing w:after="180"/>
              <w:jc w:val="center"/>
              <w:rPr>
                <w:rFonts w:hint="eastAsia" w:ascii="Times New Roman" w:hAnsi="Times New Roman" w:eastAsiaTheme="minorEastAsia"/>
                <w:color w:val="auto"/>
                <w:lang w:val="en-US" w:eastAsia="zh-CN"/>
              </w:rPr>
            </w:pPr>
            <w:r>
              <w:rPr>
                <w:rFonts w:hint="eastAsia" w:ascii="Times New Roman" w:hAnsi="Times New Roman"/>
                <w:color w:val="auto"/>
                <w:lang w:val="en-US" w:eastAsia="zh-CN"/>
              </w:rPr>
              <w:t>0</w:t>
            </w:r>
          </w:p>
        </w:tc>
        <w:tc>
          <w:tcPr>
            <w:tcW w:w="665" w:type="dxa"/>
            <w:tcBorders>
              <w:top w:val="nil"/>
              <w:left w:val="nil"/>
              <w:bottom w:val="single" w:color="auto" w:sz="8" w:space="0"/>
              <w:right w:val="single" w:color="auto" w:sz="8" w:space="0"/>
            </w:tcBorders>
            <w:shd w:val="clear" w:color="auto" w:fill="auto"/>
            <w:tcMar>
              <w:left w:w="108" w:type="dxa"/>
              <w:right w:w="108" w:type="dxa"/>
            </w:tcMar>
            <w:vAlign w:val="center"/>
          </w:tcPr>
          <w:p w14:paraId="2C6F4C75">
            <w:pPr>
              <w:widowControl/>
              <w:spacing w:after="180"/>
              <w:jc w:val="center"/>
              <w:rPr>
                <w:rFonts w:hint="eastAsia" w:ascii="Times New Roman" w:hAnsi="Times New Roman" w:eastAsiaTheme="minorEastAsia"/>
                <w:color w:val="auto"/>
                <w:lang w:val="en-US" w:eastAsia="zh-CN"/>
              </w:rPr>
            </w:pPr>
            <w:r>
              <w:rPr>
                <w:rFonts w:hint="eastAsia" w:ascii="Times New Roman" w:hAnsi="Times New Roman"/>
                <w:color w:val="auto"/>
                <w:lang w:val="en-US" w:eastAsia="zh-CN"/>
              </w:rPr>
              <w:t>0</w:t>
            </w:r>
          </w:p>
        </w:tc>
        <w:tc>
          <w:tcPr>
            <w:tcW w:w="665" w:type="dxa"/>
            <w:tcBorders>
              <w:top w:val="nil"/>
              <w:left w:val="nil"/>
              <w:bottom w:val="single" w:color="auto" w:sz="8" w:space="0"/>
              <w:right w:val="single" w:color="auto" w:sz="8" w:space="0"/>
            </w:tcBorders>
            <w:shd w:val="clear" w:color="auto" w:fill="auto"/>
            <w:tcMar>
              <w:left w:w="108" w:type="dxa"/>
              <w:right w:w="108" w:type="dxa"/>
            </w:tcMar>
            <w:vAlign w:val="center"/>
          </w:tcPr>
          <w:p w14:paraId="1874AEFB">
            <w:pPr>
              <w:widowControl/>
              <w:spacing w:after="180"/>
              <w:jc w:val="center"/>
              <w:rPr>
                <w:rFonts w:hint="eastAsia" w:ascii="Times New Roman" w:hAnsi="Times New Roman" w:eastAsiaTheme="minorEastAsia"/>
                <w:color w:val="auto"/>
                <w:lang w:val="en-US" w:eastAsia="zh-CN"/>
              </w:rPr>
            </w:pPr>
            <w:r>
              <w:rPr>
                <w:rFonts w:hint="eastAsia" w:ascii="Times New Roman" w:hAnsi="Times New Roman"/>
                <w:color w:val="auto"/>
                <w:lang w:val="en-US" w:eastAsia="zh-CN"/>
              </w:rPr>
              <w:t>0</w:t>
            </w:r>
          </w:p>
        </w:tc>
        <w:tc>
          <w:tcPr>
            <w:tcW w:w="665" w:type="dxa"/>
            <w:tcBorders>
              <w:top w:val="nil"/>
              <w:left w:val="nil"/>
              <w:bottom w:val="single" w:color="auto" w:sz="8" w:space="0"/>
              <w:right w:val="single" w:color="auto" w:sz="8" w:space="0"/>
            </w:tcBorders>
            <w:shd w:val="clear" w:color="auto" w:fill="auto"/>
            <w:tcMar>
              <w:left w:w="108" w:type="dxa"/>
              <w:right w:w="108" w:type="dxa"/>
            </w:tcMar>
            <w:vAlign w:val="center"/>
          </w:tcPr>
          <w:p w14:paraId="168708E4">
            <w:pPr>
              <w:widowControl/>
              <w:spacing w:after="180"/>
              <w:jc w:val="center"/>
              <w:rPr>
                <w:rFonts w:hint="eastAsia" w:ascii="Times New Roman" w:hAnsi="Times New Roman" w:eastAsiaTheme="minorEastAsia"/>
                <w:color w:val="auto"/>
                <w:lang w:val="en-US" w:eastAsia="zh-CN"/>
              </w:rPr>
            </w:pPr>
            <w:r>
              <w:rPr>
                <w:rFonts w:hint="eastAsia" w:ascii="Times New Roman" w:hAnsi="Times New Roman"/>
                <w:color w:val="auto"/>
                <w:lang w:val="en-US" w:eastAsia="zh-CN"/>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14:paraId="1F9881A4">
            <w:pPr>
              <w:widowControl/>
              <w:spacing w:after="180"/>
              <w:jc w:val="center"/>
              <w:rPr>
                <w:rFonts w:hint="eastAsia" w:ascii="Times New Roman" w:hAnsi="Times New Roman" w:eastAsiaTheme="minorEastAsia"/>
                <w:color w:val="auto"/>
                <w:lang w:val="en-US" w:eastAsia="zh-CN"/>
              </w:rPr>
            </w:pPr>
            <w:r>
              <w:rPr>
                <w:rFonts w:hint="eastAsia" w:ascii="Times New Roman" w:hAnsi="Times New Roman"/>
                <w:color w:val="auto"/>
                <w:lang w:val="en-US" w:eastAsia="zh-CN"/>
              </w:rPr>
              <w:t>0</w:t>
            </w:r>
          </w:p>
        </w:tc>
        <w:tc>
          <w:tcPr>
            <w:tcW w:w="677" w:type="dxa"/>
            <w:tcBorders>
              <w:top w:val="nil"/>
              <w:left w:val="nil"/>
              <w:bottom w:val="single" w:color="auto" w:sz="8" w:space="0"/>
              <w:right w:val="single" w:color="auto" w:sz="8" w:space="0"/>
            </w:tcBorders>
            <w:shd w:val="clear" w:color="auto" w:fill="auto"/>
            <w:tcMar>
              <w:left w:w="108" w:type="dxa"/>
              <w:right w:w="108" w:type="dxa"/>
            </w:tcMar>
            <w:vAlign w:val="center"/>
          </w:tcPr>
          <w:p w14:paraId="1507AD4B">
            <w:pPr>
              <w:widowControl/>
              <w:spacing w:after="180"/>
              <w:jc w:val="center"/>
              <w:rPr>
                <w:rFonts w:hint="eastAsia" w:ascii="Times New Roman" w:hAnsi="Times New Roman" w:eastAsiaTheme="minorEastAsia"/>
                <w:color w:val="auto"/>
                <w:lang w:val="en-US" w:eastAsia="zh-CN"/>
              </w:rPr>
            </w:pPr>
            <w:r>
              <w:rPr>
                <w:rFonts w:hint="eastAsia" w:ascii="Times New Roman" w:hAnsi="Times New Roman"/>
                <w:color w:val="auto"/>
                <w:lang w:val="en-US" w:eastAsia="zh-CN"/>
              </w:rPr>
              <w:t>0</w:t>
            </w:r>
          </w:p>
        </w:tc>
      </w:tr>
    </w:tbl>
    <w:p w14:paraId="47C049CA">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40" w:lineRule="exact"/>
        <w:ind w:leftChars="0" w:right="0" w:rightChars="0"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五、政府信息公开工作存在的主要问题及改进情况</w:t>
      </w:r>
    </w:p>
    <w:p w14:paraId="6AB3DB2A">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Chars="0" w:firstLine="643" w:firstLineChars="200"/>
        <w:jc w:val="both"/>
        <w:textAlignment w:val="auto"/>
        <w:rPr>
          <w:rFonts w:hint="eastAsia" w:ascii="楷体_GB2312" w:hAnsi="楷体_GB2312" w:eastAsia="楷体_GB2312" w:cs="楷体_GB2312"/>
          <w:b/>
          <w:bCs/>
          <w:color w:val="0000FF"/>
          <w:sz w:val="32"/>
          <w:szCs w:val="32"/>
        </w:rPr>
      </w:pPr>
      <w:r>
        <w:rPr>
          <w:rFonts w:hint="eastAsia" w:ascii="楷体_GB2312" w:hAnsi="楷体_GB2312" w:eastAsia="楷体_GB2312" w:cs="楷体_GB2312"/>
          <w:b/>
          <w:bCs/>
          <w:color w:val="auto"/>
          <w:sz w:val="32"/>
          <w:szCs w:val="32"/>
        </w:rPr>
        <w:t>（一）存在的主要问题</w:t>
      </w:r>
    </w:p>
    <w:p w14:paraId="3B3B37FA">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40" w:lineRule="exact"/>
        <w:ind w:leftChars="0" w:right="0" w:rightChars="0" w:firstLine="643" w:firstLineChars="200"/>
        <w:jc w:val="both"/>
        <w:textAlignment w:val="auto"/>
        <w:rPr>
          <w:rFonts w:hint="eastAsia" w:ascii="黑体" w:hAnsi="黑体" w:eastAsia="黑体" w:cs="黑体"/>
          <w:color w:val="0000FF"/>
          <w:sz w:val="32"/>
          <w:szCs w:val="32"/>
          <w:lang w:val="en-US" w:eastAsia="zh-CN"/>
        </w:rPr>
      </w:pPr>
      <w:r>
        <w:rPr>
          <w:rFonts w:hint="eastAsia" w:ascii="仿宋_GB2312" w:hAnsi="仿宋_GB2312" w:eastAsia="仿宋_GB2312" w:cs="仿宋_GB2312"/>
          <w:b/>
          <w:bCs/>
          <w:color w:val="auto"/>
          <w:sz w:val="32"/>
          <w:szCs w:val="32"/>
          <w:lang w:val="en-US" w:eastAsia="zh-CN"/>
        </w:rPr>
        <w:t>一是</w:t>
      </w:r>
      <w:r>
        <w:rPr>
          <w:rFonts w:hint="eastAsia" w:ascii="仿宋_GB2312" w:hAnsi="仿宋_GB2312" w:eastAsia="仿宋_GB2312" w:cs="仿宋_GB2312"/>
          <w:b w:val="0"/>
          <w:bCs w:val="0"/>
          <w:color w:val="auto"/>
          <w:sz w:val="32"/>
          <w:szCs w:val="32"/>
          <w:lang w:val="en-US" w:eastAsia="zh-CN"/>
        </w:rPr>
        <w:t>公开内容深度与针对性不足；</w:t>
      </w:r>
      <w:r>
        <w:rPr>
          <w:rFonts w:hint="eastAsia" w:ascii="仿宋_GB2312" w:hAnsi="仿宋_GB2312" w:eastAsia="仿宋_GB2312" w:cs="仿宋_GB2312"/>
          <w:b/>
          <w:bCs/>
          <w:color w:val="auto"/>
          <w:sz w:val="32"/>
          <w:szCs w:val="32"/>
          <w:lang w:val="en-US" w:eastAsia="zh-CN"/>
        </w:rPr>
        <w:t>二是</w:t>
      </w:r>
      <w:r>
        <w:rPr>
          <w:rFonts w:hint="eastAsia" w:ascii="仿宋_GB2312" w:hAnsi="仿宋_GB2312" w:eastAsia="仿宋_GB2312" w:cs="仿宋_GB2312"/>
          <w:b w:val="0"/>
          <w:bCs w:val="0"/>
          <w:color w:val="auto"/>
          <w:sz w:val="32"/>
          <w:szCs w:val="32"/>
          <w:lang w:val="en-US" w:eastAsia="zh-CN"/>
        </w:rPr>
        <w:t>公开形式创新性与便捷性待提升；</w:t>
      </w:r>
      <w:r>
        <w:rPr>
          <w:rFonts w:hint="eastAsia" w:ascii="仿宋_GB2312" w:hAnsi="仿宋_GB2312" w:eastAsia="仿宋_GB2312" w:cs="仿宋_GB2312"/>
          <w:b/>
          <w:bCs/>
          <w:color w:val="auto"/>
          <w:sz w:val="32"/>
          <w:szCs w:val="32"/>
          <w:lang w:val="en-US" w:eastAsia="zh-CN"/>
        </w:rPr>
        <w:t>三是</w:t>
      </w:r>
      <w:r>
        <w:rPr>
          <w:rFonts w:hint="eastAsia" w:ascii="仿宋_GB2312" w:hAnsi="仿宋_GB2312" w:eastAsia="仿宋_GB2312" w:cs="仿宋_GB2312"/>
          <w:b w:val="0"/>
          <w:bCs w:val="0"/>
          <w:color w:val="auto"/>
          <w:sz w:val="32"/>
          <w:szCs w:val="32"/>
          <w:lang w:val="en-US" w:eastAsia="zh-CN"/>
        </w:rPr>
        <w:t>工作队伍专业能力与协同机制需强化。</w:t>
      </w:r>
    </w:p>
    <w:p w14:paraId="70B02171">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Chars="0" w:firstLine="643"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楷体_GB2312" w:hAnsi="楷体_GB2312" w:eastAsia="楷体_GB2312" w:cs="楷体_GB2312"/>
          <w:b/>
          <w:bCs/>
          <w:color w:val="auto"/>
          <w:sz w:val="32"/>
          <w:szCs w:val="32"/>
        </w:rPr>
        <w:t>（二）改进措施</w:t>
      </w:r>
    </w:p>
    <w:p w14:paraId="39FDEC7F">
      <w:pPr>
        <w:pStyle w:val="4"/>
        <w:keepNext w:val="0"/>
        <w:keepLines w:val="0"/>
        <w:pageBreakBefore w:val="0"/>
        <w:widowControl/>
        <w:numPr>
          <w:ilvl w:val="0"/>
          <w:numId w:val="0"/>
        </w:numPr>
        <w:suppressLineNumbers w:val="0"/>
        <w:tabs>
          <w:tab w:val="left" w:pos="1465"/>
        </w:tabs>
        <w:kinsoku/>
        <w:wordWrap/>
        <w:overflowPunct/>
        <w:topLinePunct w:val="0"/>
        <w:autoSpaceDE/>
        <w:autoSpaceDN/>
        <w:bidi w:val="0"/>
        <w:adjustRightInd/>
        <w:snapToGrid/>
        <w:spacing w:before="0" w:beforeAutospacing="0" w:afterAutospacing="0" w:line="560" w:lineRule="exact"/>
        <w:ind w:right="0" w:rightChars="0" w:firstLine="643" w:firstLineChars="200"/>
        <w:jc w:val="both"/>
        <w:textAlignment w:val="auto"/>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一是</w:t>
      </w:r>
      <w:r>
        <w:rPr>
          <w:rFonts w:hint="eastAsia" w:ascii="Times New Roman" w:hAnsi="Times New Roman" w:eastAsia="仿宋_GB2312" w:cs="Times New Roman"/>
          <w:b w:val="0"/>
          <w:bCs w:val="0"/>
          <w:color w:val="auto"/>
          <w:sz w:val="32"/>
          <w:szCs w:val="32"/>
          <w:lang w:val="en-US" w:eastAsia="zh-CN"/>
        </w:rPr>
        <w:t>梳理群众高频咨询事项清单，编制通俗易懂的政策解读材料，配套推出办事流程图解</w:t>
      </w:r>
      <w:r>
        <w:rPr>
          <w:rFonts w:hint="eastAsia"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b/>
          <w:bCs/>
          <w:color w:val="auto"/>
          <w:sz w:val="32"/>
          <w:szCs w:val="32"/>
          <w:lang w:val="en-US" w:eastAsia="zh-CN"/>
        </w:rPr>
        <w:t>二是</w:t>
      </w:r>
      <w:r>
        <w:rPr>
          <w:rFonts w:hint="eastAsia" w:ascii="Times New Roman" w:hAnsi="Times New Roman" w:eastAsia="仿宋_GB2312" w:cs="Times New Roman"/>
          <w:b w:val="0"/>
          <w:bCs w:val="0"/>
          <w:color w:val="auto"/>
          <w:sz w:val="32"/>
          <w:szCs w:val="32"/>
          <w:lang w:val="en-US" w:eastAsia="zh-CN"/>
        </w:rPr>
        <w:t>优化线下政务公开专区服务功能，增设智能设备操作指引牌，安排专职人员提供设备操作协助；</w:t>
      </w:r>
      <w:r>
        <w:rPr>
          <w:rFonts w:hint="eastAsia" w:ascii="Times New Roman" w:hAnsi="Times New Roman" w:eastAsia="仿宋_GB2312" w:cs="Times New Roman"/>
          <w:b/>
          <w:bCs/>
          <w:color w:val="auto"/>
          <w:sz w:val="32"/>
          <w:szCs w:val="32"/>
          <w:lang w:val="en-US" w:eastAsia="zh-CN"/>
        </w:rPr>
        <w:t>三是</w:t>
      </w:r>
      <w:r>
        <w:rPr>
          <w:rFonts w:hint="eastAsia" w:ascii="Times New Roman" w:hAnsi="Times New Roman" w:eastAsia="仿宋_GB2312" w:cs="Times New Roman"/>
          <w:b w:val="0"/>
          <w:bCs w:val="0"/>
          <w:color w:val="auto"/>
          <w:sz w:val="32"/>
          <w:szCs w:val="32"/>
          <w:lang w:val="en-US" w:eastAsia="zh-CN"/>
        </w:rPr>
        <w:t>组织开展政务公开业务专题培训，提升工作人员专业素养。</w:t>
      </w:r>
    </w:p>
    <w:p w14:paraId="7557B6A0">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40" w:lineRule="exact"/>
        <w:ind w:right="0" w:rightChars="0"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六、其他需要报告的事项</w:t>
      </w:r>
    </w:p>
    <w:p w14:paraId="1C2AF142">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60" w:lineRule="exact"/>
        <w:ind w:right="0" w:righ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lang w:eastAsia="zh-CN"/>
        </w:rPr>
        <w:t>2025</w:t>
      </w:r>
      <w:r>
        <w:rPr>
          <w:rFonts w:hint="default" w:ascii="Times New Roman" w:hAnsi="Times New Roman" w:eastAsia="仿宋_GB2312" w:cs="Times New Roman"/>
          <w:color w:val="auto"/>
          <w:sz w:val="32"/>
          <w:szCs w:val="32"/>
        </w:rPr>
        <w:t>年全年接到市人大常委会交办的人大代表建议办理工作0件，收到市政协会议提案0件。</w:t>
      </w:r>
      <w:bookmarkStart w:id="10" w:name="_GoBack"/>
      <w:bookmarkEnd w:id="10"/>
    </w:p>
    <w:p w14:paraId="1B73C3EF">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60" w:lineRule="exact"/>
        <w:ind w:right="0" w:rightChars="0"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2.本年度政府信息公开申请未达到《政府信息公开信息处理费管理办法》（国办函〔2020〕109号）所规定的信息处理费收费标准，故未收取信息处理费。</w:t>
      </w:r>
    </w:p>
    <w:p w14:paraId="0CE959CA">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3.落实年度政务公开重点工作情况。扎实做好政务公开基础工作，持续推进基层政务公开标准化、规范化，全面梳理细化相关领域政务公开事项，明确具体事项的公开标准，制作主动公开基本目录清单等，促进街道政务公开工作提质增效。</w:t>
      </w:r>
    </w:p>
    <w:p w14:paraId="0A118E5F">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4.本行政机关年度政务公开工作创新情况。</w:t>
      </w:r>
      <w:r>
        <w:rPr>
          <w:rFonts w:hint="eastAsia" w:ascii="Times New Roman" w:hAnsi="Times New Roman" w:eastAsia="仿宋_GB2312" w:cs="Times New Roman"/>
          <w:b/>
          <w:bCs/>
          <w:color w:val="auto"/>
          <w:sz w:val="32"/>
          <w:szCs w:val="32"/>
          <w:lang w:val="en-US" w:eastAsia="zh-CN"/>
        </w:rPr>
        <w:t>一是</w:t>
      </w:r>
      <w:r>
        <w:rPr>
          <w:rFonts w:hint="eastAsia" w:ascii="Times New Roman" w:hAnsi="Times New Roman" w:eastAsia="仿宋_GB2312" w:cs="Times New Roman"/>
          <w:b w:val="0"/>
          <w:bCs w:val="0"/>
          <w:color w:val="auto"/>
          <w:sz w:val="32"/>
          <w:szCs w:val="32"/>
          <w:lang w:val="en-US" w:eastAsia="zh-CN"/>
        </w:rPr>
        <w:t>切实提升基层工作人员综合服务素质和能力，增强企业群众办事体验感和便利度；</w:t>
      </w:r>
      <w:r>
        <w:rPr>
          <w:rFonts w:hint="eastAsia" w:ascii="Times New Roman" w:hAnsi="Times New Roman" w:eastAsia="仿宋_GB2312" w:cs="Times New Roman"/>
          <w:b/>
          <w:bCs/>
          <w:color w:val="auto"/>
          <w:sz w:val="32"/>
          <w:szCs w:val="32"/>
          <w:lang w:val="en-US" w:eastAsia="zh-CN"/>
        </w:rPr>
        <w:t>二是</w:t>
      </w:r>
      <w:r>
        <w:rPr>
          <w:rFonts w:hint="eastAsia" w:ascii="Times New Roman" w:hAnsi="Times New Roman" w:eastAsia="仿宋_GB2312" w:cs="Times New Roman"/>
          <w:b w:val="0"/>
          <w:bCs w:val="0"/>
          <w:color w:val="auto"/>
          <w:sz w:val="32"/>
          <w:szCs w:val="32"/>
          <w:lang w:val="en-US" w:eastAsia="zh-CN"/>
        </w:rPr>
        <w:t>升级兴城街道“政务公开专区”，进一步夯实政务公开工作基础，力争实现政务公开便民化、智能化、人性化，切实增强群众参与感。</w:t>
      </w:r>
    </w:p>
    <w:p w14:paraId="462D053D">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本行政机关政府信息公开工作年度报告数据统计需要说明的事项。本报告中所列数据的统计时限为</w:t>
      </w:r>
      <w:r>
        <w:rPr>
          <w:rFonts w:hint="eastAsia" w:ascii="Times New Roman" w:hAnsi="Times New Roman" w:eastAsia="仿宋_GB2312" w:cs="Times New Roman"/>
          <w:color w:val="auto"/>
          <w:sz w:val="32"/>
          <w:szCs w:val="32"/>
          <w:lang w:val="en-US" w:eastAsia="zh-CN"/>
        </w:rPr>
        <w:t>2025</w:t>
      </w:r>
      <w:r>
        <w:rPr>
          <w:rFonts w:hint="default"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日至</w:t>
      </w:r>
      <w:r>
        <w:rPr>
          <w:rFonts w:hint="eastAsia" w:ascii="Times New Roman" w:hAnsi="Times New Roman" w:eastAsia="仿宋_GB2312" w:cs="Times New Roman"/>
          <w:color w:val="auto"/>
          <w:sz w:val="32"/>
          <w:szCs w:val="32"/>
          <w:lang w:val="en-US" w:eastAsia="zh-CN"/>
        </w:rPr>
        <w:t>2025</w:t>
      </w:r>
      <w:r>
        <w:rPr>
          <w:rFonts w:hint="default"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val="en-US" w:eastAsia="zh-CN"/>
        </w:rPr>
        <w:t>12</w:t>
      </w:r>
      <w:r>
        <w:rPr>
          <w:rFonts w:hint="default"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31</w:t>
      </w:r>
      <w:r>
        <w:rPr>
          <w:rFonts w:hint="default" w:ascii="Times New Roman" w:hAnsi="Times New Roman" w:eastAsia="仿宋_GB2312" w:cs="Times New Roman"/>
          <w:color w:val="auto"/>
          <w:sz w:val="32"/>
          <w:szCs w:val="32"/>
        </w:rPr>
        <w:t>日。</w:t>
      </w:r>
    </w:p>
    <w:p w14:paraId="67A53225">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.本行政机关认为需要报告的其他事项。无。</w:t>
      </w:r>
    </w:p>
    <w:p w14:paraId="260D95EE">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.其他有关文件专门要求通过政府信息公开工作年度报告予以报告的事项。无。</w:t>
      </w:r>
    </w:p>
    <w:p w14:paraId="4B0CA9A1">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如对本年度政府信息公开工作年度报告有疑问，请与枣庄高新区兴城街道联系（联系电话:0632-867</w:t>
      </w: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008，电子邮箱:xingchengjieban@163.com）。</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8F33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72CD7A">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A72CD7A">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A3586A"/>
    <w:multiLevelType w:val="singleLevel"/>
    <w:tmpl w:val="E9A3586A"/>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3NzJlNDY2MTkyZmE1NDA1OGE0NWY3NmYwZWEzYzkifQ=="/>
  </w:docVars>
  <w:rsids>
    <w:rsidRoot w:val="00000000"/>
    <w:rsid w:val="0009075B"/>
    <w:rsid w:val="005C4D2E"/>
    <w:rsid w:val="0087167F"/>
    <w:rsid w:val="00F9432B"/>
    <w:rsid w:val="014A2DD9"/>
    <w:rsid w:val="017D54E3"/>
    <w:rsid w:val="018E53BB"/>
    <w:rsid w:val="019F1377"/>
    <w:rsid w:val="01CF32DE"/>
    <w:rsid w:val="01DF5C17"/>
    <w:rsid w:val="021B6523"/>
    <w:rsid w:val="02775E4F"/>
    <w:rsid w:val="02CD1F13"/>
    <w:rsid w:val="02CF77A5"/>
    <w:rsid w:val="036A1510"/>
    <w:rsid w:val="03BE185C"/>
    <w:rsid w:val="042913CB"/>
    <w:rsid w:val="04351B1E"/>
    <w:rsid w:val="0449381C"/>
    <w:rsid w:val="04C5045F"/>
    <w:rsid w:val="04CB5FDF"/>
    <w:rsid w:val="051F457C"/>
    <w:rsid w:val="052A53FB"/>
    <w:rsid w:val="053B4351"/>
    <w:rsid w:val="05BE1FE7"/>
    <w:rsid w:val="05CD5D86"/>
    <w:rsid w:val="05E03D0C"/>
    <w:rsid w:val="05F72E03"/>
    <w:rsid w:val="06085010"/>
    <w:rsid w:val="063D4CBA"/>
    <w:rsid w:val="065344DE"/>
    <w:rsid w:val="06654FEF"/>
    <w:rsid w:val="06913258"/>
    <w:rsid w:val="06C726BC"/>
    <w:rsid w:val="06EE2458"/>
    <w:rsid w:val="06FF4665"/>
    <w:rsid w:val="071874D5"/>
    <w:rsid w:val="07571DAC"/>
    <w:rsid w:val="078F7797"/>
    <w:rsid w:val="07F317FB"/>
    <w:rsid w:val="08430582"/>
    <w:rsid w:val="085F360E"/>
    <w:rsid w:val="08B60D54"/>
    <w:rsid w:val="08C416C3"/>
    <w:rsid w:val="08FE0D7F"/>
    <w:rsid w:val="090715AF"/>
    <w:rsid w:val="09383E5F"/>
    <w:rsid w:val="093C394F"/>
    <w:rsid w:val="094C0719"/>
    <w:rsid w:val="094E5430"/>
    <w:rsid w:val="09E26350"/>
    <w:rsid w:val="09E55D95"/>
    <w:rsid w:val="0A3D172D"/>
    <w:rsid w:val="0A8C6210"/>
    <w:rsid w:val="0AEA1189"/>
    <w:rsid w:val="0B0B182B"/>
    <w:rsid w:val="0B5605CC"/>
    <w:rsid w:val="0B5E1FD1"/>
    <w:rsid w:val="0BAD4690"/>
    <w:rsid w:val="0C0B585A"/>
    <w:rsid w:val="0C5A3AFD"/>
    <w:rsid w:val="0C7E7DDA"/>
    <w:rsid w:val="0C9475FE"/>
    <w:rsid w:val="0CA57A5D"/>
    <w:rsid w:val="0CA912FB"/>
    <w:rsid w:val="0CCF0636"/>
    <w:rsid w:val="0CDB347F"/>
    <w:rsid w:val="0D86163D"/>
    <w:rsid w:val="0DB717F6"/>
    <w:rsid w:val="0DD759F4"/>
    <w:rsid w:val="0E060087"/>
    <w:rsid w:val="0E460DCC"/>
    <w:rsid w:val="0E4A08BC"/>
    <w:rsid w:val="0E601E8E"/>
    <w:rsid w:val="0E76520D"/>
    <w:rsid w:val="0E8611C8"/>
    <w:rsid w:val="0EA53D44"/>
    <w:rsid w:val="0EAC6E81"/>
    <w:rsid w:val="0EC853E9"/>
    <w:rsid w:val="0EE4486D"/>
    <w:rsid w:val="0F164219"/>
    <w:rsid w:val="0F2C1D70"/>
    <w:rsid w:val="0F4946D0"/>
    <w:rsid w:val="0F803E6A"/>
    <w:rsid w:val="0FB6788B"/>
    <w:rsid w:val="0FDA7A1E"/>
    <w:rsid w:val="0FF20B75"/>
    <w:rsid w:val="0FFE195E"/>
    <w:rsid w:val="100F3B6B"/>
    <w:rsid w:val="10240C99"/>
    <w:rsid w:val="103B3627"/>
    <w:rsid w:val="10480E2B"/>
    <w:rsid w:val="10637A13"/>
    <w:rsid w:val="10BC7123"/>
    <w:rsid w:val="10FE14EA"/>
    <w:rsid w:val="11164A85"/>
    <w:rsid w:val="115A0E16"/>
    <w:rsid w:val="11904838"/>
    <w:rsid w:val="11B5604C"/>
    <w:rsid w:val="11C72224"/>
    <w:rsid w:val="11CB5870"/>
    <w:rsid w:val="11FA7F03"/>
    <w:rsid w:val="124F633D"/>
    <w:rsid w:val="12582E7C"/>
    <w:rsid w:val="12B427A8"/>
    <w:rsid w:val="13070B2A"/>
    <w:rsid w:val="13217712"/>
    <w:rsid w:val="133E2072"/>
    <w:rsid w:val="134E49AB"/>
    <w:rsid w:val="13871C6A"/>
    <w:rsid w:val="13CA1B57"/>
    <w:rsid w:val="140E5EE8"/>
    <w:rsid w:val="140E7C96"/>
    <w:rsid w:val="143811B7"/>
    <w:rsid w:val="144731A8"/>
    <w:rsid w:val="14CB6448"/>
    <w:rsid w:val="14E32ED1"/>
    <w:rsid w:val="15043711"/>
    <w:rsid w:val="153B2D0D"/>
    <w:rsid w:val="158A77F0"/>
    <w:rsid w:val="159348F7"/>
    <w:rsid w:val="15A308B2"/>
    <w:rsid w:val="16021A7C"/>
    <w:rsid w:val="165D6CB3"/>
    <w:rsid w:val="16F77107"/>
    <w:rsid w:val="1706559C"/>
    <w:rsid w:val="171E28E6"/>
    <w:rsid w:val="1753670C"/>
    <w:rsid w:val="17822E75"/>
    <w:rsid w:val="179B7A92"/>
    <w:rsid w:val="17CA62D4"/>
    <w:rsid w:val="17E55ACB"/>
    <w:rsid w:val="17E86A50"/>
    <w:rsid w:val="180E64B6"/>
    <w:rsid w:val="182A7068"/>
    <w:rsid w:val="18463EA2"/>
    <w:rsid w:val="18496DE3"/>
    <w:rsid w:val="18700F1F"/>
    <w:rsid w:val="18876269"/>
    <w:rsid w:val="18AB1F57"/>
    <w:rsid w:val="18C63235"/>
    <w:rsid w:val="18DF42F7"/>
    <w:rsid w:val="193E726F"/>
    <w:rsid w:val="1954439D"/>
    <w:rsid w:val="19801636"/>
    <w:rsid w:val="19B72B7E"/>
    <w:rsid w:val="19C21C4E"/>
    <w:rsid w:val="19EF056A"/>
    <w:rsid w:val="19F85670"/>
    <w:rsid w:val="1A4C59BC"/>
    <w:rsid w:val="1A9829AF"/>
    <w:rsid w:val="1B4D72F6"/>
    <w:rsid w:val="1BD21EF1"/>
    <w:rsid w:val="1BF43C15"/>
    <w:rsid w:val="1C47468D"/>
    <w:rsid w:val="1C7865F4"/>
    <w:rsid w:val="1CDF0421"/>
    <w:rsid w:val="1D305121"/>
    <w:rsid w:val="1D8611E5"/>
    <w:rsid w:val="1DEB1048"/>
    <w:rsid w:val="1E214A6A"/>
    <w:rsid w:val="1E37428D"/>
    <w:rsid w:val="1E3E2B8A"/>
    <w:rsid w:val="1E5906A7"/>
    <w:rsid w:val="1EAE09F3"/>
    <w:rsid w:val="1EAE454F"/>
    <w:rsid w:val="1EE75CB3"/>
    <w:rsid w:val="1F1A1BE5"/>
    <w:rsid w:val="1F2E743E"/>
    <w:rsid w:val="1F7F7C9A"/>
    <w:rsid w:val="1F8D23B7"/>
    <w:rsid w:val="1FD955FC"/>
    <w:rsid w:val="20020FF7"/>
    <w:rsid w:val="202F346E"/>
    <w:rsid w:val="20315438"/>
    <w:rsid w:val="20566C4C"/>
    <w:rsid w:val="20586E69"/>
    <w:rsid w:val="209B6D55"/>
    <w:rsid w:val="20CE2C87"/>
    <w:rsid w:val="20D14525"/>
    <w:rsid w:val="20F052F3"/>
    <w:rsid w:val="21052421"/>
    <w:rsid w:val="21091F11"/>
    <w:rsid w:val="21260D15"/>
    <w:rsid w:val="21556F04"/>
    <w:rsid w:val="21635AC5"/>
    <w:rsid w:val="21676C37"/>
    <w:rsid w:val="217A0447"/>
    <w:rsid w:val="220E68C5"/>
    <w:rsid w:val="221C3EC6"/>
    <w:rsid w:val="22327245"/>
    <w:rsid w:val="22387500"/>
    <w:rsid w:val="226D4721"/>
    <w:rsid w:val="22AC6FF8"/>
    <w:rsid w:val="22FD5AA5"/>
    <w:rsid w:val="2342170A"/>
    <w:rsid w:val="23582CDC"/>
    <w:rsid w:val="23737B15"/>
    <w:rsid w:val="2375388E"/>
    <w:rsid w:val="23897339"/>
    <w:rsid w:val="23CD34DC"/>
    <w:rsid w:val="23E565FA"/>
    <w:rsid w:val="23F21382"/>
    <w:rsid w:val="23F86C88"/>
    <w:rsid w:val="24013373"/>
    <w:rsid w:val="24417C14"/>
    <w:rsid w:val="24455956"/>
    <w:rsid w:val="2479115B"/>
    <w:rsid w:val="247B1377"/>
    <w:rsid w:val="24B403E6"/>
    <w:rsid w:val="24DB0068"/>
    <w:rsid w:val="24DF3966"/>
    <w:rsid w:val="250273A3"/>
    <w:rsid w:val="250E3F9A"/>
    <w:rsid w:val="251E574A"/>
    <w:rsid w:val="25253091"/>
    <w:rsid w:val="252E63EA"/>
    <w:rsid w:val="25382DC5"/>
    <w:rsid w:val="2561056D"/>
    <w:rsid w:val="25B82157"/>
    <w:rsid w:val="25C74149"/>
    <w:rsid w:val="25F767DC"/>
    <w:rsid w:val="2610789E"/>
    <w:rsid w:val="263B20A0"/>
    <w:rsid w:val="26775B6F"/>
    <w:rsid w:val="268F4C66"/>
    <w:rsid w:val="26A30712"/>
    <w:rsid w:val="26E56F7C"/>
    <w:rsid w:val="26F70A5D"/>
    <w:rsid w:val="274C2B57"/>
    <w:rsid w:val="27985D9D"/>
    <w:rsid w:val="27CB6172"/>
    <w:rsid w:val="28074CD0"/>
    <w:rsid w:val="28235FAE"/>
    <w:rsid w:val="28B430AA"/>
    <w:rsid w:val="28DE1ED5"/>
    <w:rsid w:val="29177195"/>
    <w:rsid w:val="291853E7"/>
    <w:rsid w:val="294A30C6"/>
    <w:rsid w:val="294C5091"/>
    <w:rsid w:val="29CF6BA5"/>
    <w:rsid w:val="29D05CC2"/>
    <w:rsid w:val="29D3130E"/>
    <w:rsid w:val="29EF3C6E"/>
    <w:rsid w:val="2A181417"/>
    <w:rsid w:val="2A6603D4"/>
    <w:rsid w:val="2A691C72"/>
    <w:rsid w:val="2AA64C74"/>
    <w:rsid w:val="2AA84549"/>
    <w:rsid w:val="2AF7102C"/>
    <w:rsid w:val="2AFA28CA"/>
    <w:rsid w:val="2B3C2EE3"/>
    <w:rsid w:val="2B473D61"/>
    <w:rsid w:val="2B5C03AE"/>
    <w:rsid w:val="2B69017C"/>
    <w:rsid w:val="2B9B2BA3"/>
    <w:rsid w:val="2BA50A88"/>
    <w:rsid w:val="2C994A91"/>
    <w:rsid w:val="2CC43190"/>
    <w:rsid w:val="2CFC0B7C"/>
    <w:rsid w:val="2D12214D"/>
    <w:rsid w:val="2D222C56"/>
    <w:rsid w:val="2D67693D"/>
    <w:rsid w:val="2D7828F8"/>
    <w:rsid w:val="2D8F7C42"/>
    <w:rsid w:val="2DA27975"/>
    <w:rsid w:val="2DD85145"/>
    <w:rsid w:val="2DE47F8D"/>
    <w:rsid w:val="2E5B7B24"/>
    <w:rsid w:val="2E6966E5"/>
    <w:rsid w:val="2E7806D6"/>
    <w:rsid w:val="2E7C696F"/>
    <w:rsid w:val="2EDF2503"/>
    <w:rsid w:val="2F1523C9"/>
    <w:rsid w:val="2F1F0B51"/>
    <w:rsid w:val="2F3F11F4"/>
    <w:rsid w:val="2F754C15"/>
    <w:rsid w:val="2FBE480E"/>
    <w:rsid w:val="2FF124EE"/>
    <w:rsid w:val="30640F12"/>
    <w:rsid w:val="30ED53AB"/>
    <w:rsid w:val="310D3357"/>
    <w:rsid w:val="312F7772"/>
    <w:rsid w:val="313D27D5"/>
    <w:rsid w:val="31B23EFF"/>
    <w:rsid w:val="31C003CA"/>
    <w:rsid w:val="320A5AE9"/>
    <w:rsid w:val="321F2C5E"/>
    <w:rsid w:val="326E6078"/>
    <w:rsid w:val="32A10A97"/>
    <w:rsid w:val="33430C1A"/>
    <w:rsid w:val="334E5EA9"/>
    <w:rsid w:val="33C63C91"/>
    <w:rsid w:val="347926F3"/>
    <w:rsid w:val="34A22009"/>
    <w:rsid w:val="34D81ECE"/>
    <w:rsid w:val="34F767F8"/>
    <w:rsid w:val="34F85D6A"/>
    <w:rsid w:val="3502519D"/>
    <w:rsid w:val="353C420B"/>
    <w:rsid w:val="355F7EFA"/>
    <w:rsid w:val="35CD57AB"/>
    <w:rsid w:val="366854D4"/>
    <w:rsid w:val="3699743B"/>
    <w:rsid w:val="369D517D"/>
    <w:rsid w:val="36B67FED"/>
    <w:rsid w:val="36C5227C"/>
    <w:rsid w:val="37227431"/>
    <w:rsid w:val="372413FB"/>
    <w:rsid w:val="37531CE0"/>
    <w:rsid w:val="37B02C8E"/>
    <w:rsid w:val="380C3143"/>
    <w:rsid w:val="38C2711D"/>
    <w:rsid w:val="390E2362"/>
    <w:rsid w:val="396E4BAF"/>
    <w:rsid w:val="39706B79"/>
    <w:rsid w:val="397321C6"/>
    <w:rsid w:val="39875C71"/>
    <w:rsid w:val="398E5251"/>
    <w:rsid w:val="39D4535A"/>
    <w:rsid w:val="39EE5CF0"/>
    <w:rsid w:val="3A267238"/>
    <w:rsid w:val="3A6B10EF"/>
    <w:rsid w:val="3A777A93"/>
    <w:rsid w:val="3A7E0E22"/>
    <w:rsid w:val="3B143534"/>
    <w:rsid w:val="3BD778AE"/>
    <w:rsid w:val="3BD80A06"/>
    <w:rsid w:val="3BE455FD"/>
    <w:rsid w:val="3C0A1C8C"/>
    <w:rsid w:val="3C9E39FD"/>
    <w:rsid w:val="3CB054DF"/>
    <w:rsid w:val="3CF90C34"/>
    <w:rsid w:val="3D023F8C"/>
    <w:rsid w:val="3D89020A"/>
    <w:rsid w:val="3DC76F84"/>
    <w:rsid w:val="3DD516A1"/>
    <w:rsid w:val="3DD82F3F"/>
    <w:rsid w:val="3DF15DAF"/>
    <w:rsid w:val="3E4E3201"/>
    <w:rsid w:val="3E7013C9"/>
    <w:rsid w:val="3E734A16"/>
    <w:rsid w:val="3E860BED"/>
    <w:rsid w:val="3EAD617A"/>
    <w:rsid w:val="3F4A1C1A"/>
    <w:rsid w:val="3F4C367C"/>
    <w:rsid w:val="3F80388E"/>
    <w:rsid w:val="3FAC01DF"/>
    <w:rsid w:val="3FB928FC"/>
    <w:rsid w:val="3FD55988"/>
    <w:rsid w:val="40297A82"/>
    <w:rsid w:val="405A7C3B"/>
    <w:rsid w:val="40825401"/>
    <w:rsid w:val="409E3FCC"/>
    <w:rsid w:val="40C31C84"/>
    <w:rsid w:val="41061B71"/>
    <w:rsid w:val="417116E0"/>
    <w:rsid w:val="417E204F"/>
    <w:rsid w:val="41B90304"/>
    <w:rsid w:val="41E00614"/>
    <w:rsid w:val="41EC520B"/>
    <w:rsid w:val="42894808"/>
    <w:rsid w:val="43170066"/>
    <w:rsid w:val="431C567C"/>
    <w:rsid w:val="43324E9F"/>
    <w:rsid w:val="433A3D54"/>
    <w:rsid w:val="44022AC4"/>
    <w:rsid w:val="4427077C"/>
    <w:rsid w:val="44387465"/>
    <w:rsid w:val="44775260"/>
    <w:rsid w:val="447B4624"/>
    <w:rsid w:val="44872FC9"/>
    <w:rsid w:val="4496320C"/>
    <w:rsid w:val="44C61D43"/>
    <w:rsid w:val="44CD30D2"/>
    <w:rsid w:val="451E56DB"/>
    <w:rsid w:val="454113CA"/>
    <w:rsid w:val="4550160D"/>
    <w:rsid w:val="4554734F"/>
    <w:rsid w:val="459E4A6E"/>
    <w:rsid w:val="45C67B21"/>
    <w:rsid w:val="45CA7611"/>
    <w:rsid w:val="46050649"/>
    <w:rsid w:val="46B04A59"/>
    <w:rsid w:val="46E12E64"/>
    <w:rsid w:val="46E6047B"/>
    <w:rsid w:val="471C20EE"/>
    <w:rsid w:val="473A2575"/>
    <w:rsid w:val="479F062A"/>
    <w:rsid w:val="47AB5220"/>
    <w:rsid w:val="47B10A89"/>
    <w:rsid w:val="47EF335F"/>
    <w:rsid w:val="48313978"/>
    <w:rsid w:val="48575D8F"/>
    <w:rsid w:val="4860425D"/>
    <w:rsid w:val="48B40105"/>
    <w:rsid w:val="48CE11C6"/>
    <w:rsid w:val="48CE6244"/>
    <w:rsid w:val="49090450"/>
    <w:rsid w:val="491C4628"/>
    <w:rsid w:val="49267254"/>
    <w:rsid w:val="494D47E1"/>
    <w:rsid w:val="49942410"/>
    <w:rsid w:val="49BF360C"/>
    <w:rsid w:val="49E52C6C"/>
    <w:rsid w:val="49F033BE"/>
    <w:rsid w:val="4A655B5A"/>
    <w:rsid w:val="4A69564B"/>
    <w:rsid w:val="4A745D9D"/>
    <w:rsid w:val="4ACA3C0F"/>
    <w:rsid w:val="4B441C14"/>
    <w:rsid w:val="4BF076A6"/>
    <w:rsid w:val="4CAA1F4A"/>
    <w:rsid w:val="4CE4545C"/>
    <w:rsid w:val="4D693BB4"/>
    <w:rsid w:val="4D8B58D8"/>
    <w:rsid w:val="4E407546"/>
    <w:rsid w:val="4E577EB0"/>
    <w:rsid w:val="4E8642F1"/>
    <w:rsid w:val="4E8A3DE2"/>
    <w:rsid w:val="4E8B1571"/>
    <w:rsid w:val="4E915170"/>
    <w:rsid w:val="4EF83441"/>
    <w:rsid w:val="4F0973FC"/>
    <w:rsid w:val="4F2204BE"/>
    <w:rsid w:val="4F9B5B7A"/>
    <w:rsid w:val="4F9F1B0F"/>
    <w:rsid w:val="4FE47521"/>
    <w:rsid w:val="4FF27E90"/>
    <w:rsid w:val="4FF84D7B"/>
    <w:rsid w:val="4FFA4F97"/>
    <w:rsid w:val="4FFE4A87"/>
    <w:rsid w:val="50175B49"/>
    <w:rsid w:val="505E043D"/>
    <w:rsid w:val="50B769E4"/>
    <w:rsid w:val="50D21A70"/>
    <w:rsid w:val="50F33EC0"/>
    <w:rsid w:val="51022355"/>
    <w:rsid w:val="511B6F73"/>
    <w:rsid w:val="511D2CEB"/>
    <w:rsid w:val="51542485"/>
    <w:rsid w:val="519C4558"/>
    <w:rsid w:val="51CC64BF"/>
    <w:rsid w:val="51D6733E"/>
    <w:rsid w:val="51E732F9"/>
    <w:rsid w:val="51EE640D"/>
    <w:rsid w:val="51FD2B1C"/>
    <w:rsid w:val="520619D1"/>
    <w:rsid w:val="520C2D5F"/>
    <w:rsid w:val="52157E66"/>
    <w:rsid w:val="52EB0BC7"/>
    <w:rsid w:val="532540D9"/>
    <w:rsid w:val="532F4F57"/>
    <w:rsid w:val="532F6D06"/>
    <w:rsid w:val="53360094"/>
    <w:rsid w:val="53487DC7"/>
    <w:rsid w:val="536C61AC"/>
    <w:rsid w:val="53A414A2"/>
    <w:rsid w:val="53BA6F17"/>
    <w:rsid w:val="53C733E2"/>
    <w:rsid w:val="54160FE7"/>
    <w:rsid w:val="5435659E"/>
    <w:rsid w:val="545804DE"/>
    <w:rsid w:val="54D062C6"/>
    <w:rsid w:val="54D9517B"/>
    <w:rsid w:val="54DB5397"/>
    <w:rsid w:val="54E51D72"/>
    <w:rsid w:val="5503669C"/>
    <w:rsid w:val="55175CA3"/>
    <w:rsid w:val="5523289A"/>
    <w:rsid w:val="5558730C"/>
    <w:rsid w:val="55B33C1E"/>
    <w:rsid w:val="55B61960"/>
    <w:rsid w:val="55D3606E"/>
    <w:rsid w:val="55EB785C"/>
    <w:rsid w:val="5604091D"/>
    <w:rsid w:val="5640122A"/>
    <w:rsid w:val="56503B63"/>
    <w:rsid w:val="565A22EB"/>
    <w:rsid w:val="56CF2CD9"/>
    <w:rsid w:val="56DA342C"/>
    <w:rsid w:val="570D3802"/>
    <w:rsid w:val="57607DD5"/>
    <w:rsid w:val="57727B09"/>
    <w:rsid w:val="577B3F4D"/>
    <w:rsid w:val="57A001D2"/>
    <w:rsid w:val="57DB745C"/>
    <w:rsid w:val="57DD4F82"/>
    <w:rsid w:val="584A6390"/>
    <w:rsid w:val="58A12453"/>
    <w:rsid w:val="58DF2F7C"/>
    <w:rsid w:val="59123351"/>
    <w:rsid w:val="59361E5E"/>
    <w:rsid w:val="59AC7302"/>
    <w:rsid w:val="59B63CDD"/>
    <w:rsid w:val="5A252C10"/>
    <w:rsid w:val="5A290952"/>
    <w:rsid w:val="5A8913F1"/>
    <w:rsid w:val="5AC97A40"/>
    <w:rsid w:val="5B0311A3"/>
    <w:rsid w:val="5B5C6B06"/>
    <w:rsid w:val="5B81031A"/>
    <w:rsid w:val="5BA1276A"/>
    <w:rsid w:val="5BB406F0"/>
    <w:rsid w:val="5BD743DE"/>
    <w:rsid w:val="5BD91F04"/>
    <w:rsid w:val="5C427AAA"/>
    <w:rsid w:val="5C643EC4"/>
    <w:rsid w:val="5CBC5AAE"/>
    <w:rsid w:val="5D373386"/>
    <w:rsid w:val="5D375134"/>
    <w:rsid w:val="5D485594"/>
    <w:rsid w:val="5D8B5480"/>
    <w:rsid w:val="5DCB3ACF"/>
    <w:rsid w:val="5DE60909"/>
    <w:rsid w:val="5E053485"/>
    <w:rsid w:val="5E7423B8"/>
    <w:rsid w:val="5EB10F16"/>
    <w:rsid w:val="5EE40171"/>
    <w:rsid w:val="5EE7088B"/>
    <w:rsid w:val="5EF332DD"/>
    <w:rsid w:val="5EF579DB"/>
    <w:rsid w:val="5F0FDFAB"/>
    <w:rsid w:val="5F100333"/>
    <w:rsid w:val="5F1720EB"/>
    <w:rsid w:val="5F337B7D"/>
    <w:rsid w:val="5F3833E6"/>
    <w:rsid w:val="5F6D7533"/>
    <w:rsid w:val="5F942D12"/>
    <w:rsid w:val="5FCF3D4A"/>
    <w:rsid w:val="604007A4"/>
    <w:rsid w:val="605B738C"/>
    <w:rsid w:val="611834CF"/>
    <w:rsid w:val="616B5851"/>
    <w:rsid w:val="616C7377"/>
    <w:rsid w:val="61E82EA1"/>
    <w:rsid w:val="622F0AD0"/>
    <w:rsid w:val="62506D7A"/>
    <w:rsid w:val="626D784A"/>
    <w:rsid w:val="62712E97"/>
    <w:rsid w:val="62A3501A"/>
    <w:rsid w:val="62AF7E63"/>
    <w:rsid w:val="630006BE"/>
    <w:rsid w:val="6300421A"/>
    <w:rsid w:val="63A66B70"/>
    <w:rsid w:val="648A0240"/>
    <w:rsid w:val="64EC4A56"/>
    <w:rsid w:val="6549634D"/>
    <w:rsid w:val="656B0071"/>
    <w:rsid w:val="656F7435"/>
    <w:rsid w:val="657F58CB"/>
    <w:rsid w:val="658A426F"/>
    <w:rsid w:val="66083B12"/>
    <w:rsid w:val="661E3335"/>
    <w:rsid w:val="66291CDA"/>
    <w:rsid w:val="66540B05"/>
    <w:rsid w:val="667A42E4"/>
    <w:rsid w:val="668F1B3D"/>
    <w:rsid w:val="66ED0F5A"/>
    <w:rsid w:val="6727621A"/>
    <w:rsid w:val="673821D5"/>
    <w:rsid w:val="673F7A07"/>
    <w:rsid w:val="674943E2"/>
    <w:rsid w:val="67694A84"/>
    <w:rsid w:val="67801DCE"/>
    <w:rsid w:val="67E376F9"/>
    <w:rsid w:val="67E57780"/>
    <w:rsid w:val="67E934CF"/>
    <w:rsid w:val="67F0485E"/>
    <w:rsid w:val="68324E76"/>
    <w:rsid w:val="684921C0"/>
    <w:rsid w:val="68555008"/>
    <w:rsid w:val="685C1EF3"/>
    <w:rsid w:val="687F3E33"/>
    <w:rsid w:val="68833A94"/>
    <w:rsid w:val="68B57855"/>
    <w:rsid w:val="68FC5484"/>
    <w:rsid w:val="690031C6"/>
    <w:rsid w:val="692C7B17"/>
    <w:rsid w:val="693B5FAC"/>
    <w:rsid w:val="69407A67"/>
    <w:rsid w:val="6A0665BA"/>
    <w:rsid w:val="6A114F5F"/>
    <w:rsid w:val="6AA858C3"/>
    <w:rsid w:val="6AA87672"/>
    <w:rsid w:val="6AF27D20"/>
    <w:rsid w:val="6AFB1E97"/>
    <w:rsid w:val="6AFF300A"/>
    <w:rsid w:val="6B2D401B"/>
    <w:rsid w:val="6B2F38EF"/>
    <w:rsid w:val="6BB12556"/>
    <w:rsid w:val="6BD10E4A"/>
    <w:rsid w:val="6BD3071E"/>
    <w:rsid w:val="6BD9385B"/>
    <w:rsid w:val="6BF863D7"/>
    <w:rsid w:val="6C07486C"/>
    <w:rsid w:val="6C111246"/>
    <w:rsid w:val="6C727F37"/>
    <w:rsid w:val="6C8B2DA7"/>
    <w:rsid w:val="6D2D5FF9"/>
    <w:rsid w:val="6D480C98"/>
    <w:rsid w:val="6D6D06FE"/>
    <w:rsid w:val="6DB6372B"/>
    <w:rsid w:val="6DDD3AD6"/>
    <w:rsid w:val="6E0F7A08"/>
    <w:rsid w:val="6E241705"/>
    <w:rsid w:val="6E71421E"/>
    <w:rsid w:val="6E7A1325"/>
    <w:rsid w:val="6E95615F"/>
    <w:rsid w:val="6EDC5B3C"/>
    <w:rsid w:val="6EEF37BE"/>
    <w:rsid w:val="6FE949B4"/>
    <w:rsid w:val="70035904"/>
    <w:rsid w:val="7020414E"/>
    <w:rsid w:val="703F2826"/>
    <w:rsid w:val="70822713"/>
    <w:rsid w:val="70875F7B"/>
    <w:rsid w:val="70A1528F"/>
    <w:rsid w:val="70C26FB3"/>
    <w:rsid w:val="70D867D7"/>
    <w:rsid w:val="70E37655"/>
    <w:rsid w:val="716342F2"/>
    <w:rsid w:val="718A7AD1"/>
    <w:rsid w:val="71BE3C1E"/>
    <w:rsid w:val="71C879D4"/>
    <w:rsid w:val="71CF1988"/>
    <w:rsid w:val="7205184D"/>
    <w:rsid w:val="721C3B20"/>
    <w:rsid w:val="72255A4C"/>
    <w:rsid w:val="725D4E9A"/>
    <w:rsid w:val="733B08D1"/>
    <w:rsid w:val="737E3665"/>
    <w:rsid w:val="73AA6208"/>
    <w:rsid w:val="742F670E"/>
    <w:rsid w:val="743B3304"/>
    <w:rsid w:val="744C72C0"/>
    <w:rsid w:val="749649DF"/>
    <w:rsid w:val="74A92964"/>
    <w:rsid w:val="74F82FA3"/>
    <w:rsid w:val="7538033B"/>
    <w:rsid w:val="753D4E5A"/>
    <w:rsid w:val="75614FED"/>
    <w:rsid w:val="757E5B9F"/>
    <w:rsid w:val="75974E97"/>
    <w:rsid w:val="75C86E1A"/>
    <w:rsid w:val="75CD61DE"/>
    <w:rsid w:val="75EFE49C"/>
    <w:rsid w:val="76037E52"/>
    <w:rsid w:val="762878B8"/>
    <w:rsid w:val="76830F93"/>
    <w:rsid w:val="76AA651F"/>
    <w:rsid w:val="76F93003"/>
    <w:rsid w:val="76FA74A7"/>
    <w:rsid w:val="772269FE"/>
    <w:rsid w:val="77244524"/>
    <w:rsid w:val="77277B70"/>
    <w:rsid w:val="773504DF"/>
    <w:rsid w:val="779A47E6"/>
    <w:rsid w:val="77C43611"/>
    <w:rsid w:val="77ED2B68"/>
    <w:rsid w:val="78280044"/>
    <w:rsid w:val="78283DE0"/>
    <w:rsid w:val="784529A4"/>
    <w:rsid w:val="78C563DE"/>
    <w:rsid w:val="78E35D19"/>
    <w:rsid w:val="7961380D"/>
    <w:rsid w:val="797B41A3"/>
    <w:rsid w:val="799F682B"/>
    <w:rsid w:val="79B80F53"/>
    <w:rsid w:val="7A212F9C"/>
    <w:rsid w:val="7A454FC5"/>
    <w:rsid w:val="7A523156"/>
    <w:rsid w:val="7A637111"/>
    <w:rsid w:val="7A813A3B"/>
    <w:rsid w:val="7A865511"/>
    <w:rsid w:val="7AE364A4"/>
    <w:rsid w:val="7AFE6E3A"/>
    <w:rsid w:val="7B0C59FB"/>
    <w:rsid w:val="7B205002"/>
    <w:rsid w:val="7B2E771F"/>
    <w:rsid w:val="7B346CFF"/>
    <w:rsid w:val="7B783090"/>
    <w:rsid w:val="7B910C26"/>
    <w:rsid w:val="7BB06386"/>
    <w:rsid w:val="7BBF0CBF"/>
    <w:rsid w:val="7C5533D1"/>
    <w:rsid w:val="7C703D67"/>
    <w:rsid w:val="7C8F0691"/>
    <w:rsid w:val="7CB65C1E"/>
    <w:rsid w:val="7CDB5685"/>
    <w:rsid w:val="7CE502B1"/>
    <w:rsid w:val="7CF90201"/>
    <w:rsid w:val="7D0C1CE2"/>
    <w:rsid w:val="7D276B1C"/>
    <w:rsid w:val="7DA55C93"/>
    <w:rsid w:val="7E130E4E"/>
    <w:rsid w:val="7E152E18"/>
    <w:rsid w:val="7E3C03A5"/>
    <w:rsid w:val="7E745D91"/>
    <w:rsid w:val="7E8B4E88"/>
    <w:rsid w:val="7ED76320"/>
    <w:rsid w:val="7F5C2810"/>
    <w:rsid w:val="7F932247"/>
    <w:rsid w:val="7FAE7080"/>
    <w:rsid w:val="7FBD72C3"/>
    <w:rsid w:val="7FE900B8"/>
    <w:rsid w:val="7FFA9867"/>
    <w:rsid w:val="7FFF5B2E"/>
    <w:rsid w:val="FCFF08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7">
    <w:name w:val="Strong"/>
    <w:basedOn w:val="6"/>
    <w:autoRedefine/>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2137</Words>
  <Characters>2248</Characters>
  <Lines>0</Lines>
  <Paragraphs>0</Paragraphs>
  <TotalTime>9</TotalTime>
  <ScaleCrop>false</ScaleCrop>
  <LinksUpToDate>false</LinksUpToDate>
  <CharactersWithSpaces>2257</CharactersWithSpaces>
  <Application>WPS Office_12.1.0.25186_F1E327BC-269C-435d-A152-05C5408002CA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2024-01-16T14:59:00Z</dcterms:created>
  <dc:creator>Administrator</dc:creator>
  <cp:lastModifiedBy>Cdc</cp:lastModifiedBy>
  <dcterms:modified xsi:type="dcterms:W3CDTF">2026-01-23T08:30:04Z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2052-12.1.0.25186</vt:lpwstr>
  </property>
  <property fmtid="{D5CDD505-2E9C-101B-9397-08002B2CF9AE}" pid="3" name="ICV">
    <vt:lpwstr>6F5E708E7BBC4991AB98E02870A3A20A_12</vt:lpwstr>
  </property>
  <property fmtid="{D5CDD505-2E9C-101B-9397-08002B2CF9AE}" pid="4" name="KSOTemplateDocerSaveRecord">
    <vt:lpwstr>eyJoZGlkIjoiNTRkOTMwNGViYjM0MDliNjQ5MTJhOWY1NDJkMWQwZWYiLCJ1c2VySWQiOiIxNjc0NTAwNDYwIn0=</vt:lpwstr>
  </property>
</Properties>
</file>