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465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枣庄高新智能装备科技有限公司</w:t>
      </w:r>
    </w:p>
    <w:p w14:paraId="236D12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2025年政府信息公开工作年度报告</w:t>
      </w:r>
    </w:p>
    <w:p w14:paraId="70D9FE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rPr>
      </w:pPr>
    </w:p>
    <w:p w14:paraId="35C975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本报告根据《中华人民共和国政府信息公开条例》《中华</w:t>
      </w:r>
      <w:r>
        <w:rPr>
          <w:rFonts w:hint="default" w:ascii="仿宋_GB2312" w:hAnsi="仿宋_GB2312" w:eastAsia="仿宋_GB2312" w:cs="仿宋_GB2312"/>
          <w:sz w:val="32"/>
          <w:szCs w:val="32"/>
        </w:rPr>
        <w:t>人民共和国政府信息公开工作年度报告格式》的通知（国办公开办函〔2021〕30号）和省、市、区有关工作要求，由</w:t>
      </w:r>
      <w:r>
        <w:rPr>
          <w:rFonts w:hint="eastAsia" w:ascii="仿宋_GB2312" w:hAnsi="仿宋_GB2312" w:eastAsia="仿宋_GB2312" w:cs="仿宋_GB2312"/>
          <w:sz w:val="32"/>
          <w:szCs w:val="32"/>
          <w:lang w:eastAsia="zh-CN"/>
        </w:rPr>
        <w:t>枣庄高新智能装备科技有限公司</w:t>
      </w:r>
      <w:r>
        <w:rPr>
          <w:rFonts w:hint="default" w:ascii="仿宋_GB2312" w:hAnsi="仿宋_GB2312" w:eastAsia="仿宋_GB2312" w:cs="仿宋_GB2312"/>
          <w:sz w:val="32"/>
          <w:szCs w:val="32"/>
        </w:rPr>
        <w:t>编制。全文包括202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年政府信息公开工作要点落实情况，主动公开政府信息情况，回应解读情况，依申请公开情况，政府信息公开行政复议、行政诉讼和投诉情况，存在的主要问题及改进措施等。本报告所列数据的统计时限自20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年12月31日。本报告全文将在枣庄高新区官网（http://www.zzctp.gov.cn/）“政府信息公开年度报告”专栏公布。如对本报告有疑问，请与</w:t>
      </w:r>
      <w:r>
        <w:rPr>
          <w:rFonts w:hint="eastAsia" w:ascii="仿宋_GB2312" w:hAnsi="仿宋_GB2312" w:eastAsia="仿宋_GB2312" w:cs="仿宋_GB2312"/>
          <w:sz w:val="32"/>
          <w:szCs w:val="32"/>
          <w:lang w:eastAsia="zh-CN"/>
        </w:rPr>
        <w:t>枣庄高新智能装备科技有限公司</w:t>
      </w:r>
      <w:r>
        <w:rPr>
          <w:rFonts w:hint="default" w:ascii="仿宋_GB2312" w:hAnsi="仿宋_GB2312" w:eastAsia="仿宋_GB2312" w:cs="仿宋_GB2312"/>
          <w:sz w:val="32"/>
          <w:szCs w:val="32"/>
        </w:rPr>
        <w:t>综合部联系（联系电话:0632-8675167，电子邮箱:zzgxqcyzq@163.com）。</w:t>
      </w:r>
    </w:p>
    <w:p w14:paraId="5422F7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355D8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枣庄高新智能装备科技有限公司</w:t>
      </w:r>
      <w:r>
        <w:rPr>
          <w:rFonts w:hint="eastAsia" w:ascii="仿宋_GB2312" w:hAnsi="仿宋_GB2312" w:eastAsia="仿宋_GB2312" w:cs="仿宋_GB2312"/>
          <w:sz w:val="32"/>
          <w:szCs w:val="32"/>
        </w:rPr>
        <w:t>坚持以习近平新时代中国特色社会主义思想为指导，全面贯彻落实党的二十大和二十届历次全会精神，不断健全完善政务公开工作制度，持续加大公开力度、拓展公开深度、提高公开精度，助力各项工作高质量发展。现将我单位</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度政府信息公开工作情况报告如下：</w:t>
      </w:r>
    </w:p>
    <w:p w14:paraId="7776FB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1.主动公开方面</w:t>
      </w:r>
    </w:p>
    <w:p w14:paraId="66035C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432435</wp:posOffset>
            </wp:positionH>
            <wp:positionV relativeFrom="paragraph">
              <wp:posOffset>1875155</wp:posOffset>
            </wp:positionV>
            <wp:extent cx="4375150" cy="2453005"/>
            <wp:effectExtent l="0" t="0" r="6350" b="4445"/>
            <wp:wrapTopAndBottom/>
            <wp:docPr id="1" name="图片 1" descr="176879411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8794112701"/>
                    <pic:cNvPicPr>
                      <a:picLocks noChangeAspect="1"/>
                    </pic:cNvPicPr>
                  </pic:nvPicPr>
                  <pic:blipFill>
                    <a:blip r:embed="rId4"/>
                    <a:stretch>
                      <a:fillRect/>
                    </a:stretch>
                  </pic:blipFill>
                  <pic:spPr>
                    <a:xfrm>
                      <a:off x="0" y="0"/>
                      <a:ext cx="4375150" cy="2453005"/>
                    </a:xfrm>
                    <a:prstGeom prst="rect">
                      <a:avLst/>
                    </a:prstGeom>
                  </pic:spPr>
                </pic:pic>
              </a:graphicData>
            </a:graphic>
          </wp:anchor>
        </w:drawing>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color w:val="auto"/>
          <w:sz w:val="32"/>
          <w:szCs w:val="32"/>
          <w:lang w:val="en-US" w:eastAsia="zh-CN"/>
        </w:rPr>
        <w:t>枣庄高新智能装备科技有限公司主动公开政府信息114篇。其中产业发展概况24篇、政策文件及解读4篇、主导产业-锂电产业25篇、重点项目24篇、政府开放活动2篇、部门信息24篇、政府信息公开目录10篇、办事指南1篇。</w:t>
      </w:r>
    </w:p>
    <w:p w14:paraId="244ABA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2.依申请公开工作方面</w:t>
      </w:r>
    </w:p>
    <w:p w14:paraId="6177FF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1、收到和处理政府信息公开申请情况：</w:t>
      </w:r>
    </w:p>
    <w:p w14:paraId="4CF04F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w:t>
      </w:r>
      <w:r>
        <w:rPr>
          <w:rFonts w:hint="default" w:ascii="仿宋_GB2312" w:hAnsi="仿宋_GB2312" w:eastAsia="仿宋_GB2312" w:cs="仿宋_GB2312"/>
          <w:kern w:val="2"/>
          <w:sz w:val="32"/>
          <w:szCs w:val="32"/>
          <w:lang w:val="en-US" w:eastAsia="zh-CN" w:bidi="ar-SA"/>
        </w:rPr>
        <w:t>收到申请数0件，与202</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年对比无变化。</w:t>
      </w:r>
    </w:p>
    <w:p w14:paraId="50D89EF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智能装备</w:t>
      </w:r>
      <w:r>
        <w:rPr>
          <w:rFonts w:hint="default" w:ascii="仿宋_GB2312" w:hAnsi="仿宋_GB2312" w:eastAsia="仿宋_GB2312" w:cs="仿宋_GB2312"/>
          <w:kern w:val="2"/>
          <w:sz w:val="32"/>
          <w:szCs w:val="32"/>
          <w:lang w:val="en-US" w:eastAsia="zh-CN" w:bidi="ar-SA"/>
        </w:rPr>
        <w:t>公司认真执行《中华人民共和国政府信息公开条例》，推进重点项目建设、招商引资、产业发展等重点领域的政务信息公开，主动接受社会监督，推动政务公开、政务服务深度融合，更好回应社会关切、服务中心大局，为推动辖区企业经济高质量发展，营造良好的园区与社会公众关系注入强劲动能。</w:t>
      </w:r>
    </w:p>
    <w:p w14:paraId="39C726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9E046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2、政府信息公开行政复议、行政诉讼情况：</w:t>
      </w:r>
    </w:p>
    <w:p w14:paraId="4B3CD6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w:t>
      </w:r>
      <w:r>
        <w:rPr>
          <w:rFonts w:hint="default" w:ascii="仿宋_GB2312" w:hAnsi="仿宋_GB2312" w:eastAsia="仿宋_GB2312" w:cs="仿宋_GB2312"/>
          <w:kern w:val="2"/>
          <w:sz w:val="32"/>
          <w:szCs w:val="32"/>
          <w:lang w:val="en-US" w:eastAsia="zh-CN" w:bidi="ar-SA"/>
        </w:rPr>
        <w:t>，因政府信息公开被申请行政复议0件，因公民、法人和其他组织认为行政机关政府信息公开工作具体行政行为侵犯其合法权益，提起行政诉讼0件。</w:t>
      </w:r>
    </w:p>
    <w:p w14:paraId="5C75A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3.政府信息管理方面</w:t>
      </w:r>
    </w:p>
    <w:p w14:paraId="4B1BCD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sz w:val="32"/>
          <w:szCs w:val="32"/>
        </w:rPr>
        <w:t>进一步健全政务信息公开相关的制度，明确信息公开的范围、程序、责任主体和监督机制，安排专人专岗负责政务信息审核、发布、更新、管理工作，确保公开信息及时准确。</w:t>
      </w:r>
      <w:r>
        <w:rPr>
          <w:rFonts w:hint="eastAsia" w:ascii="仿宋_GB2312" w:hAnsi="仿宋_GB2312" w:eastAsia="仿宋_GB2312" w:cs="仿宋_GB2312"/>
          <w:sz w:val="32"/>
          <w:szCs w:val="32"/>
          <w:lang w:val="en-US" w:eastAsia="zh-CN"/>
        </w:rPr>
        <w:t>智能装备公司</w:t>
      </w:r>
      <w:r>
        <w:rPr>
          <w:rFonts w:hint="eastAsia" w:ascii="仿宋_GB2312" w:hAnsi="仿宋_GB2312" w:eastAsia="仿宋_GB2312" w:cs="仿宋_GB2312"/>
          <w:sz w:val="32"/>
          <w:szCs w:val="32"/>
        </w:rPr>
        <w:t>综合管理部是信息公开工作的主管部门，负责推进、指导、协调、监督单位信息公开工作。配备专职人员1人，每月按照要求报送政务公开信息材料。</w:t>
      </w:r>
    </w:p>
    <w:p w14:paraId="07267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4.平台建设方面</w:t>
      </w:r>
    </w:p>
    <w:p w14:paraId="3D7FBD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枣庄高新区政务公开网站</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枣庄高新智能装备科技有限公司切实提高认识，</w:t>
      </w:r>
      <w:r>
        <w:rPr>
          <w:rFonts w:hint="eastAsia" w:ascii="仿宋_GB2312" w:hAnsi="仿宋_GB2312" w:eastAsia="仿宋_GB2312" w:cs="仿宋_GB2312"/>
          <w:sz w:val="32"/>
          <w:szCs w:val="32"/>
        </w:rPr>
        <w:t>严格按照信息公开要求，设立通知公告、部门信息、产业发展、招商引资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政府信息公开</w:t>
      </w:r>
      <w:r>
        <w:rPr>
          <w:rFonts w:hint="eastAsia" w:ascii="仿宋_GB2312" w:hAnsi="仿宋_GB2312" w:eastAsia="仿宋_GB2312" w:cs="仿宋_GB2312"/>
          <w:sz w:val="32"/>
          <w:szCs w:val="32"/>
        </w:rPr>
        <w:t>等栏目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统一进行年报、</w:t>
      </w:r>
      <w:r>
        <w:rPr>
          <w:rFonts w:hint="eastAsia" w:ascii="仿宋_GB2312" w:hAnsi="仿宋_GB2312" w:eastAsia="仿宋_GB2312" w:cs="仿宋_GB2312"/>
          <w:sz w:val="32"/>
          <w:szCs w:val="32"/>
          <w:lang w:val="en-US" w:eastAsia="zh-CN"/>
        </w:rPr>
        <w:t>办事指南</w:t>
      </w:r>
      <w:r>
        <w:rPr>
          <w:rFonts w:hint="eastAsia" w:ascii="仿宋_GB2312" w:hAnsi="仿宋_GB2312" w:eastAsia="仿宋_GB2312" w:cs="仿宋_GB2312"/>
          <w:sz w:val="32"/>
          <w:szCs w:val="32"/>
        </w:rPr>
        <w:t>、规划计划等法定公开内容的上传及管理，</w:t>
      </w:r>
      <w:r>
        <w:rPr>
          <w:rFonts w:hint="eastAsia" w:ascii="仿宋_GB2312" w:hAnsi="仿宋_GB2312" w:eastAsia="仿宋_GB2312" w:cs="仿宋_GB2312"/>
          <w:sz w:val="32"/>
          <w:szCs w:val="32"/>
          <w:lang w:eastAsia="zh-CN"/>
        </w:rPr>
        <w:t>及时发布部门信息、产业发展、招商引资、惠企政策、重点项目帮包等工作动态信息</w:t>
      </w:r>
      <w:r>
        <w:rPr>
          <w:rFonts w:hint="eastAsia" w:ascii="仿宋_GB2312" w:hAnsi="仿宋_GB2312" w:eastAsia="仿宋_GB2312" w:cs="仿宋_GB2312"/>
          <w:sz w:val="32"/>
          <w:szCs w:val="32"/>
        </w:rPr>
        <w:t>。</w:t>
      </w:r>
    </w:p>
    <w:p w14:paraId="61B43E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5.监督保障方面</w:t>
      </w:r>
    </w:p>
    <w:p w14:paraId="1D56C1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制定并下发</w:t>
      </w:r>
      <w:r>
        <w:rPr>
          <w:rFonts w:hint="eastAsia" w:ascii="仿宋_GB2312" w:hAnsi="仿宋_GB2312" w:eastAsia="仿宋_GB2312" w:cs="仿宋_GB2312"/>
          <w:sz w:val="32"/>
          <w:szCs w:val="32"/>
        </w:rPr>
        <w:t>《关于成立</w:t>
      </w:r>
      <w:r>
        <w:rPr>
          <w:rFonts w:hint="eastAsia" w:ascii="仿宋_GB2312" w:hAnsi="仿宋_GB2312" w:eastAsia="仿宋_GB2312" w:cs="仿宋_GB2312"/>
          <w:sz w:val="32"/>
          <w:szCs w:val="32"/>
          <w:lang w:eastAsia="zh-CN"/>
        </w:rPr>
        <w:t>枣庄高新智能装备科技有限公司</w:t>
      </w:r>
      <w:r>
        <w:rPr>
          <w:rFonts w:hint="eastAsia" w:ascii="仿宋_GB2312" w:hAnsi="仿宋_GB2312" w:eastAsia="仿宋_GB2312" w:cs="仿宋_GB2312"/>
          <w:sz w:val="32"/>
          <w:szCs w:val="32"/>
        </w:rPr>
        <w:t>政务公开工作领导小组的通知》，</w:t>
      </w:r>
      <w:r>
        <w:rPr>
          <w:rFonts w:hint="eastAsia" w:ascii="Times New Roman" w:hAnsi="Times New Roman" w:eastAsia="仿宋_GB2312" w:cs="Times New Roman"/>
          <w:sz w:val="32"/>
          <w:szCs w:val="32"/>
          <w:lang w:val="en-US" w:eastAsia="zh-CN"/>
        </w:rPr>
        <w:t>明确“主要领导亲自抓、分管领导具体抓、业务部门落实抓”的三级工作格局，</w:t>
      </w:r>
      <w:r>
        <w:rPr>
          <w:rFonts w:hint="default" w:ascii="仿宋_GB2312" w:hAnsi="仿宋_GB2312" w:eastAsia="仿宋_GB2312" w:cs="仿宋_GB2312"/>
          <w:sz w:val="32"/>
          <w:szCs w:val="32"/>
          <w:lang w:val="en-US" w:eastAsia="zh-CN"/>
        </w:rPr>
        <w:t>形成一级抓一级、层层抓落实的</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责任体系</w:t>
      </w:r>
      <w:r>
        <w:rPr>
          <w:rFonts w:hint="eastAsia" w:ascii="仿宋_GB2312" w:hAnsi="仿宋_GB2312" w:eastAsia="仿宋_GB2312" w:cs="仿宋_GB2312"/>
          <w:sz w:val="32"/>
          <w:szCs w:val="32"/>
        </w:rPr>
        <w:t>。全面加强政务公开工作培训，制定年度政务公开工作培训计划，</w:t>
      </w:r>
      <w:r>
        <w:rPr>
          <w:rFonts w:hint="eastAsia" w:ascii="仿宋_GB2312" w:hAnsi="仿宋_GB2312" w:eastAsia="仿宋_GB2312" w:cs="仿宋_GB2312"/>
          <w:sz w:val="32"/>
          <w:szCs w:val="32"/>
          <w:lang w:val="en-US" w:eastAsia="zh-CN"/>
        </w:rPr>
        <w:t>定期举行政务公开工作专题培训会，开展政务公开专项培训课程，</w:t>
      </w:r>
      <w:r>
        <w:rPr>
          <w:rFonts w:hint="eastAsia" w:ascii="仿宋_GB2312" w:hAnsi="仿宋_GB2312" w:eastAsia="仿宋_GB2312" w:cs="仿宋_GB2312"/>
          <w:sz w:val="32"/>
          <w:szCs w:val="32"/>
        </w:rPr>
        <w:t>全面提升政务公开人员的业务能力和专业水平。</w:t>
      </w:r>
    </w:p>
    <w:p w14:paraId="289FB3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62" w:type="dxa"/>
          <w:left w:w="120" w:type="dxa"/>
          <w:bottom w:w="62" w:type="dxa"/>
          <w:right w:w="119" w:type="dxa"/>
        </w:tblCellMar>
      </w:tblPr>
      <w:tblGrid>
        <w:gridCol w:w="3632"/>
        <w:gridCol w:w="1598"/>
        <w:gridCol w:w="1598"/>
        <w:gridCol w:w="1598"/>
      </w:tblGrid>
      <w:tr w14:paraId="5619F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2" w:type="dxa"/>
            <w:left w:w="120" w:type="dxa"/>
            <w:bottom w:w="62" w:type="dxa"/>
            <w:right w:w="119" w:type="dxa"/>
          </w:tblCellMar>
        </w:tblPrEx>
        <w:trPr>
          <w:trHeight w:val="421" w:hRule="atLeast"/>
          <w:jc w:val="center"/>
        </w:trPr>
        <w:tc>
          <w:tcPr>
            <w:tcW w:w="8426" w:type="dxa"/>
            <w:gridSpan w:val="4"/>
            <w:tcBorders>
              <w:top w:val="outset" w:color="auto" w:sz="4" w:space="0"/>
              <w:left w:val="outset" w:color="auto" w:sz="4" w:space="0"/>
              <w:bottom w:val="outset" w:color="auto" w:sz="4" w:space="0"/>
              <w:right w:val="outset" w:color="auto" w:sz="4" w:space="0"/>
            </w:tcBorders>
            <w:shd w:val="clear" w:color="auto" w:fill="auto"/>
            <w:tcMar>
              <w:left w:w="60" w:type="dxa"/>
              <w:right w:w="60" w:type="dxa"/>
            </w:tcMar>
            <w:vAlign w:val="center"/>
          </w:tcPr>
          <w:p w14:paraId="3FAE4F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第二十条第（一）项</w:t>
            </w:r>
          </w:p>
        </w:tc>
      </w:tr>
      <w:tr w14:paraId="0A7CFB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59"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6DDEBA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信息内容</w:t>
            </w:r>
          </w:p>
        </w:tc>
        <w:tc>
          <w:tcPr>
            <w:tcW w:w="1598"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04F82B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本年制发件数</w:t>
            </w:r>
          </w:p>
        </w:tc>
        <w:tc>
          <w:tcPr>
            <w:tcW w:w="1598"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67EAFE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本年废止件数</w:t>
            </w:r>
          </w:p>
        </w:tc>
        <w:tc>
          <w:tcPr>
            <w:tcW w:w="1598"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0C2726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现行有效件数</w:t>
            </w:r>
          </w:p>
        </w:tc>
      </w:tr>
      <w:tr w14:paraId="31EE6E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0A968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规章</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32A678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76672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2C453B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FD4A1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0F70FA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行政规范性文件</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412F9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4046C1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1598" w:type="dxa"/>
            <w:tcBorders>
              <w:top w:val="nil"/>
              <w:left w:val="nil"/>
              <w:bottom w:val="outset" w:color="auto" w:sz="4" w:space="0"/>
              <w:right w:val="outset" w:color="auto" w:sz="4" w:space="0"/>
            </w:tcBorders>
            <w:shd w:val="clear" w:color="auto" w:fill="auto"/>
            <w:tcMar>
              <w:left w:w="60" w:type="dxa"/>
              <w:right w:w="60" w:type="dxa"/>
            </w:tcMar>
            <w:vAlign w:val="center"/>
          </w:tcPr>
          <w:p w14:paraId="4B062D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0BEEA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8426"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2E5170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第二十条第（五）项</w:t>
            </w:r>
          </w:p>
        </w:tc>
      </w:tr>
      <w:tr w14:paraId="4FCE9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144EC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信息内容</w:t>
            </w:r>
          </w:p>
        </w:tc>
        <w:tc>
          <w:tcPr>
            <w:tcW w:w="4794"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4661C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本年处理决定数量</w:t>
            </w:r>
          </w:p>
        </w:tc>
      </w:tr>
      <w:tr w14:paraId="55BB5F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7AEAD9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行政许可</w:t>
            </w:r>
          </w:p>
        </w:tc>
        <w:tc>
          <w:tcPr>
            <w:tcW w:w="4794"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2081D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B82D5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2" w:type="dxa"/>
            <w:left w:w="120" w:type="dxa"/>
            <w:bottom w:w="62" w:type="dxa"/>
            <w:right w:w="119" w:type="dxa"/>
          </w:tblCellMar>
        </w:tblPrEx>
        <w:trPr>
          <w:trHeight w:val="397" w:hRule="atLeast"/>
          <w:jc w:val="center"/>
        </w:trPr>
        <w:tc>
          <w:tcPr>
            <w:tcW w:w="8426"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77465E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第二十条第（六）项</w:t>
            </w:r>
          </w:p>
        </w:tc>
      </w:tr>
      <w:tr w14:paraId="247991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D537C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信息内容</w:t>
            </w:r>
          </w:p>
        </w:tc>
        <w:tc>
          <w:tcPr>
            <w:tcW w:w="4794"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1ADF99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本年处理决定数量</w:t>
            </w:r>
          </w:p>
        </w:tc>
      </w:tr>
      <w:tr w14:paraId="1FBA22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335BD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行政处罚</w:t>
            </w:r>
          </w:p>
        </w:tc>
        <w:tc>
          <w:tcPr>
            <w:tcW w:w="4794"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6C3936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4F50FE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65D1A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行政强制</w:t>
            </w:r>
          </w:p>
        </w:tc>
        <w:tc>
          <w:tcPr>
            <w:tcW w:w="4794"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129FE6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2F8527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8426"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B6E90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第二十条第（八）项</w:t>
            </w:r>
          </w:p>
        </w:tc>
      </w:tr>
      <w:tr w14:paraId="75ABF0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397"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516B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信息内容</w:t>
            </w:r>
          </w:p>
        </w:tc>
        <w:tc>
          <w:tcPr>
            <w:tcW w:w="4794"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667949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本年收费金额（单位：万元）</w:t>
            </w:r>
          </w:p>
        </w:tc>
      </w:tr>
      <w:tr w14:paraId="105C33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2" w:type="dxa"/>
            <w:left w:w="120" w:type="dxa"/>
            <w:bottom w:w="62" w:type="dxa"/>
            <w:right w:w="119" w:type="dxa"/>
          </w:tblCellMar>
        </w:tblPrEx>
        <w:trPr>
          <w:trHeight w:val="195" w:hRule="atLeast"/>
          <w:jc w:val="center"/>
        </w:trPr>
        <w:tc>
          <w:tcPr>
            <w:tcW w:w="3632"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E561B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行政事业性收费</w:t>
            </w:r>
          </w:p>
        </w:tc>
        <w:tc>
          <w:tcPr>
            <w:tcW w:w="4794"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1D218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bl>
    <w:p w14:paraId="6A2204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bookmarkStart w:id="10" w:name="_GoBack"/>
      <w:bookmarkEnd w:id="10"/>
      <w:r>
        <w:rPr>
          <w:rFonts w:hint="eastAsia" w:ascii="黑体" w:hAnsi="黑体" w:eastAsia="黑体" w:cs="黑体"/>
          <w:sz w:val="32"/>
          <w:szCs w:val="32"/>
          <w:lang w:val="en-US" w:eastAsia="zh-CN"/>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60" w:type="dxa"/>
          <w:left w:w="120" w:type="dxa"/>
          <w:bottom w:w="60" w:type="dxa"/>
          <w:right w:w="120" w:type="dxa"/>
        </w:tblCellMar>
      </w:tblPr>
      <w:tblGrid>
        <w:gridCol w:w="722"/>
        <w:gridCol w:w="600"/>
        <w:gridCol w:w="2413"/>
        <w:gridCol w:w="720"/>
        <w:gridCol w:w="585"/>
        <w:gridCol w:w="570"/>
        <w:gridCol w:w="720"/>
        <w:gridCol w:w="735"/>
        <w:gridCol w:w="600"/>
        <w:gridCol w:w="602"/>
      </w:tblGrid>
      <w:tr w14:paraId="4FE30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36" w:hRule="atLeast"/>
          <w:jc w:val="center"/>
        </w:trPr>
        <w:tc>
          <w:tcPr>
            <w:tcW w:w="3735"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E589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（本列数据的勾稽关系为：第一项加第二项之和，等于第三项加第四项之和）</w:t>
            </w:r>
          </w:p>
        </w:tc>
        <w:tc>
          <w:tcPr>
            <w:tcW w:w="4532" w:type="dxa"/>
            <w:gridSpan w:val="7"/>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317A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申请人情况</w:t>
            </w:r>
          </w:p>
        </w:tc>
      </w:tr>
      <w:tr w14:paraId="2C7186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36" w:hRule="atLeast"/>
          <w:jc w:val="center"/>
        </w:trPr>
        <w:tc>
          <w:tcPr>
            <w:tcW w:w="373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06A54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72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6DB8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自然人</w:t>
            </w:r>
          </w:p>
        </w:tc>
        <w:tc>
          <w:tcPr>
            <w:tcW w:w="3210"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ED5D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法人或其他组织</w:t>
            </w:r>
          </w:p>
        </w:tc>
        <w:tc>
          <w:tcPr>
            <w:tcW w:w="602"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011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总计</w:t>
            </w:r>
          </w:p>
        </w:tc>
      </w:tr>
      <w:tr w14:paraId="45F41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6" w:hRule="atLeast"/>
          <w:jc w:val="center"/>
        </w:trPr>
        <w:tc>
          <w:tcPr>
            <w:tcW w:w="373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48FE6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72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A410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1718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商业企业</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6FDB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科研机构</w:t>
            </w:r>
          </w:p>
        </w:tc>
        <w:tc>
          <w:tcPr>
            <w:tcW w:w="72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50A77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社会公益组织</w:t>
            </w:r>
          </w:p>
        </w:tc>
        <w:tc>
          <w:tcPr>
            <w:tcW w:w="73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E84C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法律服务机构</w:t>
            </w:r>
          </w:p>
        </w:tc>
        <w:tc>
          <w:tcPr>
            <w:tcW w:w="60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D617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其他</w:t>
            </w:r>
          </w:p>
        </w:tc>
        <w:tc>
          <w:tcPr>
            <w:tcW w:w="602"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B8F8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r>
      <w:tr w14:paraId="0201E7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80" w:hRule="atLeast"/>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6F5C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一、</w:t>
            </w:r>
            <w:bookmarkStart w:id="0" w:name="_Hlk66973412"/>
            <w:r>
              <w:rPr>
                <w:rFonts w:hint="eastAsia" w:ascii="黑体" w:hAnsi="黑体" w:eastAsia="黑体" w:cs="黑体"/>
                <w:sz w:val="22"/>
                <w:szCs w:val="22"/>
              </w:rPr>
              <w:t>本年新收政府信息公开申请数量</w:t>
            </w:r>
            <w:bookmarkEnd w:id="0"/>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9E1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575E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BD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A207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AA1C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BF0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4CF1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08E1C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2" w:hRule="atLeast"/>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9386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二、上年结转政府信息公开申请数量</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F8FB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778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AABF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86CD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6FC9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0E1A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960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7FFB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09A4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三、本年度办理结果</w:t>
            </w: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78CF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（一）予以公开</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19C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4525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4D92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5753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07A7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D6A2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BC36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755C5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D478E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38FF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（二）部分公开（</w:t>
            </w:r>
            <w:bookmarkStart w:id="1" w:name="_Hlk66973981"/>
            <w:r>
              <w:rPr>
                <w:rFonts w:hint="eastAsia" w:ascii="黑体" w:hAnsi="黑体" w:eastAsia="黑体" w:cs="黑体"/>
                <w:sz w:val="22"/>
                <w:szCs w:val="22"/>
              </w:rPr>
              <w:t>区分处理的，只计这一情形，不计其他情形</w:t>
            </w:r>
            <w:bookmarkEnd w:id="1"/>
            <w:r>
              <w:rPr>
                <w:rFonts w:hint="eastAsia" w:ascii="黑体" w:hAnsi="黑体" w:eastAsia="黑体" w:cs="黑体"/>
                <w:sz w:val="22"/>
                <w:szCs w:val="22"/>
              </w:rPr>
              <w:t>）</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3B50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877A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AB7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072A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F1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D1D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C3C6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4510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E57E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A096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（三）不予公开</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3B12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1.属于国家秘密</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5EEB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FE4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7C61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214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C9B5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DD82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CB0B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24E10F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B3908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F33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25FD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w:t>
            </w:r>
            <w:bookmarkStart w:id="2" w:name="_Hlk66974104"/>
            <w:r>
              <w:rPr>
                <w:rFonts w:hint="eastAsia" w:ascii="黑体" w:hAnsi="黑体" w:eastAsia="黑体" w:cs="黑体"/>
                <w:sz w:val="22"/>
                <w:szCs w:val="22"/>
              </w:rPr>
              <w:t>其他法律行政法规禁止公开</w:t>
            </w:r>
            <w:bookmarkEnd w:id="2"/>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81A0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D093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721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58E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957F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45B1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8B57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2AB57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42CEB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5C4A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CBD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3.危及“三安全一稳定”</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4285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47C2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9192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AA93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F772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506AD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00A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5D40E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AC9F4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C766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C715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4.</w:t>
            </w:r>
            <w:bookmarkStart w:id="3" w:name="_Hlk66974290"/>
            <w:r>
              <w:rPr>
                <w:rFonts w:hint="eastAsia" w:ascii="黑体" w:hAnsi="黑体" w:eastAsia="黑体" w:cs="黑体"/>
                <w:sz w:val="22"/>
                <w:szCs w:val="22"/>
              </w:rPr>
              <w:t>保护第三方合法权益</w:t>
            </w:r>
            <w:bookmarkEnd w:id="3"/>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E15F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03B1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FF9B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0566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E3D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4CB0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FF8A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AEE3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6C48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C3DD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4C71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5.属于三类内部事务信息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E58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4C43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AE8A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2CFF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5DB1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4A9E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A34D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A48E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D17A8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089E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3283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6.</w:t>
            </w:r>
            <w:bookmarkStart w:id="4" w:name="_Hlk66974555"/>
            <w:r>
              <w:rPr>
                <w:rFonts w:hint="eastAsia" w:ascii="黑体" w:hAnsi="黑体" w:eastAsia="黑体" w:cs="黑体"/>
                <w:sz w:val="22"/>
                <w:szCs w:val="22"/>
              </w:rPr>
              <w:t>属于四类过程性信息</w:t>
            </w:r>
            <w:bookmarkEnd w:id="4"/>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0C6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CE94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B3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14E1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4FC5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1B3A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01A9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E5EF8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768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6AEB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DCC4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7.属于行政执法案卷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1118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0E3C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6169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70EC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C8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75AE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1B43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A556F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8D93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C6A6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22B3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8.</w:t>
            </w:r>
            <w:bookmarkStart w:id="5" w:name="_Hlk66975211"/>
            <w:r>
              <w:rPr>
                <w:rFonts w:hint="eastAsia" w:ascii="黑体" w:hAnsi="黑体" w:eastAsia="黑体" w:cs="黑体"/>
                <w:sz w:val="22"/>
                <w:szCs w:val="22"/>
              </w:rPr>
              <w:t>属于行政查询事项</w:t>
            </w:r>
            <w:bookmarkEnd w:id="5"/>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0857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6DEC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BE83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149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4B5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B404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DB9C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F4B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F0FF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E476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（四）无法提供</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F37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1.本机关不掌握相关政府信息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4616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F173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2C2F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0281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59C9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26B9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4AF9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A5F3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E70A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016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5B3B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w:t>
            </w:r>
            <w:bookmarkStart w:id="6" w:name="_Hlk66975392"/>
            <w:r>
              <w:rPr>
                <w:rFonts w:hint="eastAsia" w:ascii="黑体" w:hAnsi="黑体" w:eastAsia="黑体" w:cs="黑体"/>
                <w:sz w:val="22"/>
                <w:szCs w:val="22"/>
              </w:rPr>
              <w:t>没有现成信息需要另行制作</w:t>
            </w:r>
            <w:bookmarkEnd w:id="6"/>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7454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344C7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8C57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A1C0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B23B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8A01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8321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4AC132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D2A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B4AC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EA27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w:t>
            </w:r>
            <w:bookmarkStart w:id="7" w:name="_Hlk66975466"/>
            <w:r>
              <w:rPr>
                <w:rFonts w:hint="eastAsia" w:ascii="黑体" w:hAnsi="黑体" w:eastAsia="黑体" w:cs="黑体"/>
                <w:sz w:val="22"/>
                <w:szCs w:val="22"/>
              </w:rPr>
              <w:t>补正后申请内容仍不明确</w:t>
            </w:r>
            <w:bookmarkEnd w:id="7"/>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806B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1F17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C0BB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DE45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CF76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D604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F0E2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DC6B3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2381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CFC6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（五）不予处理</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1359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w:t>
            </w:r>
            <w:bookmarkStart w:id="8" w:name="_Hlk66975537"/>
            <w:r>
              <w:rPr>
                <w:rFonts w:hint="eastAsia" w:ascii="黑体" w:hAnsi="黑体" w:eastAsia="黑体" w:cs="黑体"/>
                <w:sz w:val="22"/>
                <w:szCs w:val="22"/>
              </w:rPr>
              <w:t>信访举报投诉类申请</w:t>
            </w:r>
            <w:bookmarkEnd w:id="8"/>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D348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9D70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FA4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C7D1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8368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E33E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0B01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05E6A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E73F2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765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D8D6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2.重复申请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47D0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C9F4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CEA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C205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6F88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544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037B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B9A84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D2FCD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8D0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8FDC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3.要求提供公开出版物</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CF66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3EE0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B526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D1CB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AB88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EA75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4AFC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2735A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12"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0A8B4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2935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0BA3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4.无正当理由大量反复申请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A279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30BA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C86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7C0E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4442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277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2B45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2CC02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C23D8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A04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C3DA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5.要求行政机关确认或重新出具已获取信息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15C9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E79E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85AF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624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ACDF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ABF8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08DF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34562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56DC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F265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（六）其他处理</w:t>
            </w: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5C478B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1.申请人无正当理由逾期不补正、行政机关不再处理其政府信息公开申请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CE25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0462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7195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0F24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DE1D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1ACC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1070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D1906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27F3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1FF8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3FF603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2.申请人逾期未按收费通知要求缴纳费用、行政机关不再处理其政府信息公开申请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1DF0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89B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647F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0881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49A6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D723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9195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0C322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223EF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E027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30E9D5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3.其他</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30DA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FA5F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5C8A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7184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EFF0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7735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99E0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4DF1F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B06FD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8A94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（七）总计</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B093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B847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B3C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647E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EF0D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7DF9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03BA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348B4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8CDF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四、结转下年度继续办理</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DDEE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407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A9B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AABE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E9F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FE83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0117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bl>
    <w:p w14:paraId="76BCD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60" w:type="dxa"/>
          <w:left w:w="120" w:type="dxa"/>
          <w:bottom w:w="60" w:type="dxa"/>
          <w:right w:w="120" w:type="dxa"/>
        </w:tblCellMar>
      </w:tblPr>
      <w:tblGrid>
        <w:gridCol w:w="641"/>
        <w:gridCol w:w="641"/>
        <w:gridCol w:w="641"/>
        <w:gridCol w:w="641"/>
        <w:gridCol w:w="387"/>
        <w:gridCol w:w="704"/>
        <w:gridCol w:w="641"/>
        <w:gridCol w:w="641"/>
        <w:gridCol w:w="641"/>
        <w:gridCol w:w="388"/>
        <w:gridCol w:w="645"/>
        <w:gridCol w:w="660"/>
        <w:gridCol w:w="630"/>
        <w:gridCol w:w="630"/>
        <w:gridCol w:w="385"/>
      </w:tblGrid>
      <w:tr w14:paraId="1548A2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778" w:hRule="atLeast"/>
          <w:jc w:val="center"/>
        </w:trPr>
        <w:tc>
          <w:tcPr>
            <w:tcW w:w="2951"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7463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行政复议</w:t>
            </w:r>
          </w:p>
        </w:tc>
        <w:tc>
          <w:tcPr>
            <w:tcW w:w="5965" w:type="dxa"/>
            <w:gridSpan w:val="10"/>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49CB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行政诉讼</w:t>
            </w:r>
          </w:p>
        </w:tc>
      </w:tr>
      <w:tr w14:paraId="611E0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597" w:hRule="atLeast"/>
          <w:jc w:val="center"/>
        </w:trPr>
        <w:tc>
          <w:tcPr>
            <w:tcW w:w="64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57A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678CD6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维持</w:t>
            </w:r>
          </w:p>
        </w:tc>
        <w:tc>
          <w:tcPr>
            <w:tcW w:w="641"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846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342DC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纠正</w:t>
            </w:r>
          </w:p>
        </w:tc>
        <w:tc>
          <w:tcPr>
            <w:tcW w:w="641"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0C1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w:t>
            </w:r>
          </w:p>
          <w:p w14:paraId="09C1F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tc>
        <w:tc>
          <w:tcPr>
            <w:tcW w:w="641"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C5F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w:t>
            </w:r>
          </w:p>
          <w:p w14:paraId="7DC504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审结</w:t>
            </w:r>
          </w:p>
        </w:tc>
        <w:tc>
          <w:tcPr>
            <w:tcW w:w="387"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B70D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w:t>
            </w:r>
          </w:p>
          <w:p w14:paraId="0C7B4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r>
              <w:rPr>
                <w:rFonts w:hint="eastAsia" w:ascii="黑体" w:hAnsi="黑体" w:eastAsia="黑体" w:cs="黑体"/>
                <w:kern w:val="0"/>
                <w:sz w:val="22"/>
                <w:szCs w:val="22"/>
                <w:lang w:val="en-US" w:eastAsia="zh-CN" w:bidi="ar"/>
              </w:rPr>
              <w:t>计</w:t>
            </w:r>
          </w:p>
        </w:tc>
        <w:tc>
          <w:tcPr>
            <w:tcW w:w="3015"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B508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未经复议直接起诉</w:t>
            </w:r>
          </w:p>
        </w:tc>
        <w:tc>
          <w:tcPr>
            <w:tcW w:w="2950"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EA3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bookmarkStart w:id="9" w:name="_Hlk67039688"/>
            <w:r>
              <w:rPr>
                <w:rFonts w:hint="eastAsia" w:ascii="黑体" w:hAnsi="黑体" w:eastAsia="黑体" w:cs="黑体"/>
                <w:sz w:val="22"/>
                <w:szCs w:val="22"/>
              </w:rPr>
              <w:t>复议后起诉</w:t>
            </w:r>
            <w:bookmarkEnd w:id="9"/>
          </w:p>
        </w:tc>
      </w:tr>
      <w:tr w14:paraId="1BF33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185" w:hRule="atLeast"/>
          <w:jc w:val="center"/>
        </w:trPr>
        <w:tc>
          <w:tcPr>
            <w:tcW w:w="64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37AA09E">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43A65A">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AC6086">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96902C">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387"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F8F129">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70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89F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结果维持</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7811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结果纠正</w:t>
            </w:r>
          </w:p>
        </w:tc>
        <w:tc>
          <w:tcPr>
            <w:tcW w:w="64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F65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其他结果</w:t>
            </w:r>
          </w:p>
        </w:tc>
        <w:tc>
          <w:tcPr>
            <w:tcW w:w="64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D05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尚未审结</w:t>
            </w:r>
          </w:p>
        </w:tc>
        <w:tc>
          <w:tcPr>
            <w:tcW w:w="388"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B1F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总计</w:t>
            </w:r>
          </w:p>
        </w:tc>
        <w:tc>
          <w:tcPr>
            <w:tcW w:w="64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2D24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结果维持</w:t>
            </w:r>
          </w:p>
        </w:tc>
        <w:tc>
          <w:tcPr>
            <w:tcW w:w="66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D7A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7A250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纠正</w:t>
            </w:r>
          </w:p>
        </w:tc>
        <w:tc>
          <w:tcPr>
            <w:tcW w:w="63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EFC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w:t>
            </w:r>
          </w:p>
          <w:p w14:paraId="438D56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tc>
        <w:tc>
          <w:tcPr>
            <w:tcW w:w="63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FA8F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尚未审结</w:t>
            </w:r>
          </w:p>
        </w:tc>
        <w:tc>
          <w:tcPr>
            <w:tcW w:w="38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6A3B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总计</w:t>
            </w:r>
          </w:p>
        </w:tc>
      </w:tr>
      <w:tr w14:paraId="53784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847" w:hRule="atLeast"/>
          <w:jc w:val="center"/>
        </w:trPr>
        <w:tc>
          <w:tcPr>
            <w:tcW w:w="64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9B41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9F3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CDE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706C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C2B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70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087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A8F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F36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97D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37B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6E3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4EF3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3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B6C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3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FE1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7BE9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r>
    </w:tbl>
    <w:p w14:paraId="04B0A8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五、存在的主要问题及改进情况</w:t>
      </w:r>
    </w:p>
    <w:p w14:paraId="14DA20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color w:val="auto"/>
          <w:sz w:val="32"/>
          <w:szCs w:val="32"/>
        </w:rPr>
      </w:pPr>
      <w:r>
        <w:rPr>
          <w:rFonts w:ascii="楷体_GB2312" w:eastAsia="楷体_GB2312" w:cs="楷体_GB2312"/>
          <w:color w:val="auto"/>
          <w:sz w:val="32"/>
          <w:szCs w:val="32"/>
        </w:rPr>
        <w:t>（一）存在的主要问题</w:t>
      </w:r>
    </w:p>
    <w:p w14:paraId="64AAE4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color w:val="auto"/>
          <w:sz w:val="32"/>
          <w:szCs w:val="32"/>
        </w:rPr>
      </w:pPr>
      <w:r>
        <w:rPr>
          <w:rFonts w:ascii="仿宋_GB2312" w:eastAsia="仿宋_GB2312" w:cs="仿宋_GB2312"/>
          <w:color w:val="auto"/>
          <w:sz w:val="32"/>
          <w:szCs w:val="32"/>
        </w:rPr>
        <w:t>一是</w:t>
      </w:r>
      <w:r>
        <w:rPr>
          <w:rFonts w:hint="eastAsia" w:ascii="仿宋_GB2312" w:eastAsia="仿宋_GB2312" w:cs="仿宋_GB2312"/>
          <w:color w:val="auto"/>
          <w:sz w:val="32"/>
          <w:szCs w:val="32"/>
          <w:lang w:val="en-US" w:eastAsia="zh-CN"/>
        </w:rPr>
        <w:t>政务</w:t>
      </w:r>
      <w:r>
        <w:rPr>
          <w:rFonts w:hint="eastAsia" w:ascii="仿宋_GB2312" w:eastAsia="仿宋_GB2312" w:cs="仿宋_GB2312"/>
          <w:color w:val="auto"/>
          <w:sz w:val="32"/>
          <w:szCs w:val="32"/>
        </w:rPr>
        <w:t>公开意识与理念有待深化</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单位部分工作</w:t>
      </w:r>
      <w:r>
        <w:rPr>
          <w:rFonts w:hint="eastAsia" w:ascii="仿宋_GB2312" w:eastAsia="仿宋_GB2312" w:cs="仿宋_GB2312"/>
          <w:color w:val="auto"/>
          <w:sz w:val="32"/>
          <w:szCs w:val="32"/>
        </w:rPr>
        <w:t>人员对政务公开的重要性认识不足，存在“重形式、轻内容”</w:t>
      </w:r>
      <w:r>
        <w:rPr>
          <w:rFonts w:hint="eastAsia" w:ascii="仿宋_GB2312" w:eastAsia="仿宋_GB2312" w:cs="仿宋_GB2312"/>
          <w:color w:val="auto"/>
          <w:sz w:val="32"/>
          <w:szCs w:val="32"/>
          <w:lang w:val="en-US" w:eastAsia="zh-CN"/>
        </w:rPr>
        <w:t>的现象</w:t>
      </w:r>
      <w:r>
        <w:rPr>
          <w:rFonts w:hint="eastAsia" w:ascii="仿宋_GB2312" w:eastAsia="仿宋_GB2312" w:cs="仿宋_GB2312"/>
          <w:color w:val="auto"/>
          <w:sz w:val="32"/>
          <w:szCs w:val="32"/>
        </w:rPr>
        <w:t>。</w:t>
      </w:r>
    </w:p>
    <w:p w14:paraId="34DEAB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eastAsia="仿宋_GB2312" w:cs="仿宋_GB2312"/>
          <w:color w:val="auto"/>
          <w:sz w:val="32"/>
          <w:szCs w:val="32"/>
        </w:rPr>
      </w:pPr>
      <w:r>
        <w:rPr>
          <w:rFonts w:hint="default" w:ascii="仿宋_GB2312" w:eastAsia="仿宋_GB2312" w:cs="仿宋_GB2312"/>
          <w:color w:val="auto"/>
          <w:sz w:val="32"/>
          <w:szCs w:val="32"/>
        </w:rPr>
        <w:t>二是</w:t>
      </w:r>
      <w:r>
        <w:rPr>
          <w:rFonts w:hint="eastAsia" w:ascii="仿宋_GB2312" w:eastAsia="仿宋_GB2312" w:cs="仿宋_GB2312"/>
          <w:color w:val="auto"/>
          <w:sz w:val="32"/>
          <w:szCs w:val="32"/>
          <w:lang w:val="en-US" w:eastAsia="zh-CN"/>
        </w:rPr>
        <w:t>政务</w:t>
      </w:r>
      <w:r>
        <w:rPr>
          <w:rFonts w:hint="default" w:ascii="仿宋_GB2312" w:eastAsia="仿宋_GB2312" w:cs="仿宋_GB2312"/>
          <w:color w:val="auto"/>
          <w:sz w:val="32"/>
          <w:szCs w:val="32"/>
        </w:rPr>
        <w:t>公开内容质量与深度有待提升</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部分公开内容</w:t>
      </w:r>
      <w:r>
        <w:rPr>
          <w:rFonts w:hint="default" w:ascii="仿宋_GB2312" w:eastAsia="仿宋_GB2312" w:cs="仿宋_GB2312"/>
          <w:color w:val="auto"/>
          <w:sz w:val="32"/>
          <w:szCs w:val="32"/>
        </w:rPr>
        <w:t>形式单一、不够通俗易懂，未能有效传递</w:t>
      </w:r>
      <w:r>
        <w:rPr>
          <w:rFonts w:hint="eastAsia" w:ascii="仿宋_GB2312" w:eastAsia="仿宋_GB2312" w:cs="仿宋_GB2312"/>
          <w:color w:val="auto"/>
          <w:sz w:val="32"/>
          <w:szCs w:val="32"/>
          <w:lang w:val="en-US" w:eastAsia="zh-CN"/>
        </w:rPr>
        <w:t>信息</w:t>
      </w:r>
      <w:r>
        <w:rPr>
          <w:rFonts w:hint="default" w:ascii="仿宋_GB2312" w:eastAsia="仿宋_GB2312" w:cs="仿宋_GB2312"/>
          <w:color w:val="auto"/>
          <w:sz w:val="32"/>
          <w:szCs w:val="32"/>
        </w:rPr>
        <w:t>意图。</w:t>
      </w:r>
    </w:p>
    <w:p w14:paraId="658106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color w:val="auto"/>
          <w:sz w:val="32"/>
          <w:szCs w:val="32"/>
        </w:rPr>
      </w:pPr>
      <w:r>
        <w:rPr>
          <w:rFonts w:hint="eastAsia" w:ascii="楷体_GB2312" w:eastAsia="楷体_GB2312" w:cs="楷体_GB2312"/>
          <w:color w:val="auto"/>
          <w:sz w:val="32"/>
          <w:szCs w:val="32"/>
        </w:rPr>
        <w:t>（二）改进情况</w:t>
      </w:r>
    </w:p>
    <w:p w14:paraId="3F17234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eastAsia="仿宋_GB2312" w:cs="仿宋_GB2312"/>
          <w:color w:val="auto"/>
          <w:sz w:val="32"/>
          <w:szCs w:val="32"/>
        </w:rPr>
      </w:pPr>
      <w:r>
        <w:rPr>
          <w:rFonts w:hint="default" w:ascii="仿宋_GB2312" w:eastAsia="仿宋_GB2312" w:cs="仿宋_GB2312"/>
          <w:color w:val="auto"/>
          <w:sz w:val="32"/>
          <w:szCs w:val="32"/>
        </w:rPr>
        <w:t>一是强化理念引领，压实主体责任</w:t>
      </w:r>
      <w:r>
        <w:rPr>
          <w:rFonts w:hint="eastAsia" w:ascii="仿宋_GB2312" w:eastAsia="仿宋_GB2312" w:cs="仿宋_GB2312"/>
          <w:color w:val="auto"/>
          <w:sz w:val="32"/>
          <w:szCs w:val="32"/>
          <w:lang w:eastAsia="zh-CN"/>
        </w:rPr>
        <w:t>。</w:t>
      </w:r>
      <w:r>
        <w:rPr>
          <w:rFonts w:hint="default" w:ascii="仿宋_GB2312" w:eastAsia="仿宋_GB2312" w:cs="仿宋_GB2312"/>
          <w:color w:val="auto"/>
          <w:sz w:val="32"/>
          <w:szCs w:val="32"/>
        </w:rPr>
        <w:t>深入开展政务公开重要性宣传教育，将公开理念融入</w:t>
      </w:r>
      <w:r>
        <w:rPr>
          <w:rFonts w:hint="eastAsia" w:ascii="仿宋_GB2312" w:eastAsia="仿宋_GB2312" w:cs="仿宋_GB2312"/>
          <w:color w:val="auto"/>
          <w:sz w:val="32"/>
          <w:szCs w:val="32"/>
          <w:lang w:val="en-US" w:eastAsia="zh-CN"/>
        </w:rPr>
        <w:t>智能装备公司</w:t>
      </w:r>
      <w:r>
        <w:rPr>
          <w:rFonts w:hint="default" w:ascii="仿宋_GB2312" w:eastAsia="仿宋_GB2312" w:cs="仿宋_GB2312"/>
          <w:color w:val="auto"/>
          <w:sz w:val="32"/>
          <w:szCs w:val="32"/>
        </w:rPr>
        <w:t>日常工作，提升</w:t>
      </w:r>
      <w:r>
        <w:rPr>
          <w:rFonts w:hint="eastAsia" w:ascii="仿宋_GB2312" w:eastAsia="仿宋_GB2312" w:cs="仿宋_GB2312"/>
          <w:color w:val="auto"/>
          <w:sz w:val="32"/>
          <w:szCs w:val="32"/>
          <w:lang w:val="en-US" w:eastAsia="zh-CN"/>
        </w:rPr>
        <w:t>本单位</w:t>
      </w:r>
      <w:r>
        <w:rPr>
          <w:rFonts w:hint="default" w:ascii="仿宋_GB2312" w:eastAsia="仿宋_GB2312" w:cs="仿宋_GB2312"/>
          <w:color w:val="auto"/>
          <w:sz w:val="32"/>
          <w:szCs w:val="32"/>
        </w:rPr>
        <w:t>主动公开意识。</w:t>
      </w:r>
    </w:p>
    <w:p w14:paraId="278A776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eastAsia="仿宋_GB2312"/>
          <w:color w:val="auto"/>
          <w:sz w:val="32"/>
          <w:szCs w:val="32"/>
          <w:lang w:eastAsia="zh-CN"/>
        </w:rPr>
      </w:pPr>
      <w:r>
        <w:rPr>
          <w:rFonts w:hint="eastAsia" w:ascii="仿宋_GB2312" w:eastAsia="仿宋_GB2312" w:cs="仿宋_GB2312"/>
          <w:color w:val="auto"/>
          <w:sz w:val="32"/>
          <w:szCs w:val="32"/>
          <w:lang w:val="en-US" w:eastAsia="zh-CN"/>
        </w:rPr>
        <w:t>二是</w:t>
      </w:r>
      <w:r>
        <w:rPr>
          <w:rFonts w:hint="default" w:ascii="仿宋_GB2312" w:eastAsia="仿宋_GB2312" w:cs="仿宋_GB2312"/>
          <w:color w:val="auto"/>
          <w:sz w:val="32"/>
          <w:szCs w:val="32"/>
        </w:rPr>
        <w:t>深化内容建设，提升公开实效</w:t>
      </w:r>
      <w:r>
        <w:rPr>
          <w:rFonts w:hint="eastAsia" w:ascii="仿宋_GB2312" w:eastAsia="仿宋_GB2312" w:cs="仿宋_GB2312"/>
          <w:color w:val="auto"/>
          <w:sz w:val="32"/>
          <w:szCs w:val="32"/>
          <w:lang w:eastAsia="zh-CN"/>
        </w:rPr>
        <w:t>。</w:t>
      </w:r>
      <w:r>
        <w:rPr>
          <w:rFonts w:hint="default" w:ascii="仿宋_GB2312" w:eastAsia="仿宋_GB2312" w:cs="仿宋_GB2312"/>
          <w:color w:val="auto"/>
          <w:sz w:val="32"/>
          <w:szCs w:val="32"/>
        </w:rPr>
        <w:t>聚焦重点领域</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重点工作</w:t>
      </w:r>
      <w:r>
        <w:rPr>
          <w:rFonts w:hint="eastAsia" w:ascii="仿宋_GB2312" w:eastAsia="仿宋_GB2312" w:cs="仿宋_GB2312"/>
          <w:color w:val="auto"/>
          <w:sz w:val="32"/>
          <w:szCs w:val="32"/>
          <w:lang w:eastAsia="zh-CN"/>
        </w:rPr>
        <w:t>，</w:t>
      </w:r>
      <w:r>
        <w:rPr>
          <w:rFonts w:hint="default" w:ascii="仿宋_GB2312" w:eastAsia="仿宋_GB2312" w:cs="仿宋_GB2312"/>
          <w:color w:val="auto"/>
          <w:sz w:val="32"/>
          <w:szCs w:val="32"/>
        </w:rPr>
        <w:t>细化</w:t>
      </w:r>
      <w:r>
        <w:rPr>
          <w:rFonts w:hint="eastAsia" w:ascii="仿宋_GB2312" w:hAnsi="仿宋_GB2312" w:eastAsia="仿宋_GB2312" w:cs="仿宋_GB2312"/>
          <w:color w:val="auto"/>
          <w:sz w:val="32"/>
          <w:szCs w:val="32"/>
          <w:lang w:val="en-US" w:eastAsia="zh-CN"/>
        </w:rPr>
        <w:t>产业发展概况、政策文件及解读、主导产业-锂电产业、重点项目、部门信息</w:t>
      </w:r>
      <w:r>
        <w:rPr>
          <w:rFonts w:hint="default" w:ascii="仿宋_GB2312" w:eastAsia="仿宋_GB2312" w:cs="仿宋_GB2312"/>
          <w:color w:val="auto"/>
          <w:sz w:val="32"/>
          <w:szCs w:val="32"/>
        </w:rPr>
        <w:t>等领域公开，采用图文、视频等多种形式，增加实质性信息供给</w:t>
      </w:r>
      <w:r>
        <w:rPr>
          <w:rFonts w:hint="eastAsia" w:ascii="仿宋_GB2312" w:eastAsia="仿宋_GB2312" w:cs="仿宋_GB2312"/>
          <w:color w:val="auto"/>
          <w:sz w:val="32"/>
          <w:szCs w:val="32"/>
          <w:lang w:eastAsia="zh-CN"/>
        </w:rPr>
        <w:t>。</w:t>
      </w:r>
    </w:p>
    <w:p w14:paraId="6F63CD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ascii="黑体" w:hAnsi="宋体" w:eastAsia="黑体" w:cs="黑体"/>
          <w:sz w:val="32"/>
          <w:szCs w:val="32"/>
        </w:rPr>
        <w:t>六、其他需要报告的事项</w:t>
      </w:r>
    </w:p>
    <w:p w14:paraId="3313BB7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（一）本年度政府信息公开申请未达到《政府信息公开信息处理费管理办法》（国办函〔2020〕109号）所规定的信息处理费收费标准，故未收取信息处理费。</w:t>
      </w:r>
    </w:p>
    <w:p w14:paraId="7F1B153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（二）落实上级政务公开重点工作情</w:t>
      </w:r>
      <w:r>
        <w:rPr>
          <w:rFonts w:hint="default" w:ascii="仿宋_GB2312" w:eastAsia="仿宋_GB2312" w:cs="仿宋_GB2312"/>
          <w:color w:val="auto"/>
          <w:sz w:val="32"/>
          <w:szCs w:val="32"/>
        </w:rPr>
        <w:t>况。根据《山东省政务公开效能监测实施方案》要求，</w:t>
      </w:r>
      <w:r>
        <w:rPr>
          <w:rFonts w:hint="default" w:ascii="仿宋_GB2312" w:eastAsia="仿宋_GB2312" w:cs="仿宋_GB2312"/>
          <w:sz w:val="32"/>
          <w:szCs w:val="32"/>
        </w:rPr>
        <w:t>结合</w:t>
      </w:r>
      <w:r>
        <w:rPr>
          <w:rFonts w:hint="eastAsia" w:ascii="仿宋_GB2312" w:eastAsia="仿宋_GB2312" w:cs="仿宋_GB2312"/>
          <w:sz w:val="32"/>
          <w:szCs w:val="32"/>
          <w:lang w:eastAsia="zh-CN"/>
        </w:rPr>
        <w:t>智能装备公司</w:t>
      </w:r>
      <w:r>
        <w:rPr>
          <w:rFonts w:hint="default" w:ascii="仿宋_GB2312" w:eastAsia="仿宋_GB2312" w:cs="仿宋_GB2312"/>
          <w:sz w:val="32"/>
          <w:szCs w:val="32"/>
        </w:rPr>
        <w:t>实际，制作主动公开基本目录清单等工作，并及时更新部门信息、产业发展、重点项目等各类信息，促进我单位政务公开工作提质增效。</w:t>
      </w:r>
    </w:p>
    <w:p w14:paraId="0EBC11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（三）</w:t>
      </w:r>
      <w:r>
        <w:rPr>
          <w:rFonts w:hint="eastAsia" w:ascii="仿宋_GB2312" w:eastAsia="仿宋_GB2312" w:cs="仿宋_GB2312"/>
          <w:sz w:val="32"/>
          <w:szCs w:val="32"/>
          <w:lang w:eastAsia="zh-CN"/>
        </w:rPr>
        <w:t>2025年全年接到市人大常委会交办的人大代表建议办理工作0件，收到市政协会议提案</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件</w:t>
      </w:r>
      <w:r>
        <w:rPr>
          <w:rFonts w:hint="default" w:ascii="仿宋_GB2312" w:eastAsia="仿宋_GB2312" w:cs="仿宋_GB2312"/>
          <w:sz w:val="32"/>
          <w:szCs w:val="32"/>
        </w:rPr>
        <w:t>。</w:t>
      </w:r>
    </w:p>
    <w:p w14:paraId="6BD8F7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eastAsia="仿宋_GB2312" w:cs="仿宋_GB2312"/>
          <w:color w:val="0000FF"/>
          <w:sz w:val="32"/>
          <w:szCs w:val="32"/>
          <w:lang w:val="en-US" w:eastAsia="zh-CN"/>
        </w:rPr>
      </w:pPr>
      <w:r>
        <w:rPr>
          <w:rFonts w:hint="default" w:ascii="仿宋_GB2312" w:eastAsia="仿宋_GB2312" w:cs="仿宋_GB2312"/>
          <w:sz w:val="32"/>
          <w:szCs w:val="32"/>
        </w:rPr>
        <w:t>（四）本行政机关年度政务公开工作创新情况</w:t>
      </w:r>
      <w:r>
        <w:rPr>
          <w:rFonts w:hint="default" w:ascii="仿宋_GB2312" w:eastAsia="仿宋_GB2312" w:cs="仿宋_GB2312"/>
          <w:color w:val="auto"/>
          <w:sz w:val="32"/>
          <w:szCs w:val="32"/>
        </w:rPr>
        <w:t>。一是深化</w:t>
      </w:r>
      <w:r>
        <w:rPr>
          <w:rFonts w:hint="eastAsia" w:ascii="仿宋_GB2312" w:eastAsia="仿宋_GB2312" w:cs="仿宋_GB2312"/>
          <w:color w:val="auto"/>
          <w:sz w:val="32"/>
          <w:szCs w:val="32"/>
          <w:lang w:eastAsia="zh-CN"/>
        </w:rPr>
        <w:t>“</w:t>
      </w:r>
      <w:r>
        <w:rPr>
          <w:rFonts w:hint="default" w:ascii="仿宋_GB2312" w:eastAsia="仿宋_GB2312" w:cs="仿宋_GB2312"/>
          <w:color w:val="auto"/>
          <w:sz w:val="32"/>
          <w:szCs w:val="32"/>
        </w:rPr>
        <w:t>政务公开+</w:t>
      </w:r>
      <w:r>
        <w:rPr>
          <w:rFonts w:hint="eastAsia" w:ascii="仿宋_GB2312" w:eastAsia="仿宋_GB2312" w:cs="仿宋_GB2312"/>
          <w:color w:val="auto"/>
          <w:sz w:val="32"/>
          <w:szCs w:val="32"/>
          <w:lang w:eastAsia="zh-CN"/>
        </w:rPr>
        <w:t>”</w:t>
      </w:r>
      <w:r>
        <w:rPr>
          <w:rFonts w:hint="default" w:ascii="仿宋_GB2312" w:eastAsia="仿宋_GB2312" w:cs="仿宋_GB2312"/>
          <w:color w:val="auto"/>
          <w:sz w:val="32"/>
          <w:szCs w:val="32"/>
        </w:rPr>
        <w:t>融合</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将政务公开</w:t>
      </w:r>
      <w:r>
        <w:rPr>
          <w:rFonts w:hint="default" w:ascii="仿宋_GB2312" w:eastAsia="仿宋_GB2312" w:cs="仿宋_GB2312"/>
          <w:color w:val="auto"/>
          <w:sz w:val="32"/>
          <w:szCs w:val="32"/>
        </w:rPr>
        <w:t>与</w:t>
      </w:r>
      <w:r>
        <w:rPr>
          <w:rFonts w:hint="eastAsia" w:ascii="仿宋_GB2312" w:eastAsia="仿宋_GB2312" w:cs="仿宋_GB2312"/>
          <w:color w:val="auto"/>
          <w:sz w:val="32"/>
          <w:szCs w:val="32"/>
          <w:lang w:val="en-US" w:eastAsia="zh-CN"/>
        </w:rPr>
        <w:t>智能装备公司招商引资、重点项目帮包、规上企业帮促及产业链培育</w:t>
      </w:r>
      <w:r>
        <w:rPr>
          <w:rFonts w:hint="default" w:ascii="仿宋_GB2312" w:eastAsia="仿宋_GB2312" w:cs="仿宋_GB2312"/>
          <w:color w:val="auto"/>
          <w:sz w:val="32"/>
          <w:szCs w:val="32"/>
        </w:rPr>
        <w:t>等工作更紧密结合</w:t>
      </w:r>
      <w:r>
        <w:rPr>
          <w:rFonts w:hint="eastAsia" w:ascii="仿宋_GB2312" w:eastAsia="仿宋_GB2312" w:cs="仿宋_GB2312"/>
          <w:color w:val="auto"/>
          <w:sz w:val="32"/>
          <w:szCs w:val="32"/>
          <w:lang w:eastAsia="zh-CN"/>
        </w:rPr>
        <w:t>，持续推动政务公开工作向纵深发展，切实</w:t>
      </w:r>
      <w:r>
        <w:rPr>
          <w:rFonts w:hint="eastAsia" w:ascii="仿宋_GB2312" w:eastAsia="仿宋_GB2312" w:cs="仿宋_GB2312"/>
          <w:color w:val="auto"/>
          <w:sz w:val="32"/>
          <w:szCs w:val="32"/>
          <w:lang w:val="en-US" w:eastAsia="zh-CN"/>
        </w:rPr>
        <w:t>提升本单位政务公开的</w:t>
      </w:r>
      <w:r>
        <w:rPr>
          <w:rFonts w:hint="eastAsia" w:ascii="仿宋_GB2312" w:eastAsia="仿宋_GB2312" w:cs="仿宋_GB2312"/>
          <w:color w:val="auto"/>
          <w:sz w:val="32"/>
          <w:szCs w:val="32"/>
          <w:lang w:eastAsia="zh-CN"/>
        </w:rPr>
        <w:t>透明度，增强人民群众的获得感、满意度与信任感；</w:t>
      </w:r>
      <w:r>
        <w:rPr>
          <w:rFonts w:hint="eastAsia" w:ascii="仿宋_GB2312" w:eastAsia="仿宋_GB2312" w:cs="仿宋_GB2312"/>
          <w:color w:val="auto"/>
          <w:sz w:val="32"/>
          <w:szCs w:val="32"/>
          <w:lang w:val="en-US" w:eastAsia="zh-CN"/>
        </w:rPr>
        <w:t>二是提升主动服务意识，在与园区企业发展有关的重大政策出台后，主动通过线上线下等多种渠道开展政策解读、收集反馈及效果，形成公开闭环，从被动回应向主动服务深刻转变，持续推动政务公开工作向更高水平发展。</w:t>
      </w:r>
    </w:p>
    <w:p w14:paraId="7C32D1A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（五）本行政机关政府信息公开工作年度报告数据统计需要说明的事项。本报告中所列数据的统计时限为</w:t>
      </w:r>
      <w:r>
        <w:rPr>
          <w:rFonts w:hint="eastAsia" w:ascii="仿宋_GB2312" w:eastAsia="仿宋_GB2312" w:cs="仿宋_GB2312"/>
          <w:sz w:val="32"/>
          <w:szCs w:val="32"/>
          <w:lang w:eastAsia="zh-CN"/>
        </w:rPr>
        <w:t>2025年</w:t>
      </w:r>
      <w:r>
        <w:rPr>
          <w:rFonts w:hint="default" w:ascii="仿宋_GB2312" w:eastAsia="仿宋_GB2312" w:cs="仿宋_GB2312"/>
          <w:sz w:val="32"/>
          <w:szCs w:val="32"/>
        </w:rPr>
        <w:t>1月1日至</w:t>
      </w:r>
      <w:r>
        <w:rPr>
          <w:rFonts w:hint="eastAsia" w:ascii="仿宋_GB2312" w:eastAsia="仿宋_GB2312" w:cs="仿宋_GB2312"/>
          <w:sz w:val="32"/>
          <w:szCs w:val="32"/>
          <w:lang w:eastAsia="zh-CN"/>
        </w:rPr>
        <w:t>2025年</w:t>
      </w:r>
      <w:r>
        <w:rPr>
          <w:rFonts w:hint="default" w:ascii="仿宋_GB2312" w:eastAsia="仿宋_GB2312" w:cs="仿宋_GB2312"/>
          <w:sz w:val="32"/>
          <w:szCs w:val="32"/>
        </w:rPr>
        <w:t>12月31日。</w:t>
      </w:r>
    </w:p>
    <w:p w14:paraId="67D640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（六）本行政机关认为需要报告的其他事项：无。</w:t>
      </w:r>
    </w:p>
    <w:p w14:paraId="45539F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eastAsia="仿宋_GB2312" w:cs="仿宋_GB2312"/>
          <w:sz w:val="32"/>
          <w:szCs w:val="32"/>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F3BF5"/>
    <w:rsid w:val="039B791C"/>
    <w:rsid w:val="076504E3"/>
    <w:rsid w:val="0DA43871"/>
    <w:rsid w:val="0E362232"/>
    <w:rsid w:val="10B97633"/>
    <w:rsid w:val="131C20FB"/>
    <w:rsid w:val="1F95570F"/>
    <w:rsid w:val="20360CA0"/>
    <w:rsid w:val="222A642F"/>
    <w:rsid w:val="25EF3C3D"/>
    <w:rsid w:val="25FD7B6A"/>
    <w:rsid w:val="27506FC9"/>
    <w:rsid w:val="28FB65E3"/>
    <w:rsid w:val="2AF7102C"/>
    <w:rsid w:val="2C974875"/>
    <w:rsid w:val="2D605E17"/>
    <w:rsid w:val="2D65712B"/>
    <w:rsid w:val="2F376B8C"/>
    <w:rsid w:val="2FE37DD1"/>
    <w:rsid w:val="30A27C8C"/>
    <w:rsid w:val="31BD209E"/>
    <w:rsid w:val="33E71372"/>
    <w:rsid w:val="3491604D"/>
    <w:rsid w:val="3958538C"/>
    <w:rsid w:val="3A175247"/>
    <w:rsid w:val="401D2E8B"/>
    <w:rsid w:val="41210759"/>
    <w:rsid w:val="464E3D9E"/>
    <w:rsid w:val="469F45FA"/>
    <w:rsid w:val="47AF3BF5"/>
    <w:rsid w:val="51B86EB8"/>
    <w:rsid w:val="5394300C"/>
    <w:rsid w:val="55A559A5"/>
    <w:rsid w:val="577C7118"/>
    <w:rsid w:val="586236D9"/>
    <w:rsid w:val="59626C1D"/>
    <w:rsid w:val="5B136F0D"/>
    <w:rsid w:val="666D447B"/>
    <w:rsid w:val="66B07D06"/>
    <w:rsid w:val="670818F0"/>
    <w:rsid w:val="69126A56"/>
    <w:rsid w:val="6CD74FCF"/>
    <w:rsid w:val="712F5E2B"/>
    <w:rsid w:val="72086C48"/>
    <w:rsid w:val="73BE1CB4"/>
    <w:rsid w:val="747D56CB"/>
    <w:rsid w:val="78B43685"/>
    <w:rsid w:val="7BA03720"/>
    <w:rsid w:val="7C75137E"/>
    <w:rsid w:val="7CFE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3063</Words>
  <Characters>3198</Characters>
  <Lines>0</Lines>
  <Paragraphs>0</Paragraphs>
  <TotalTime>10</TotalTime>
  <ScaleCrop>false</ScaleCrop>
  <LinksUpToDate>false</LinksUpToDate>
  <CharactersWithSpaces>3198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2025-01-17T01:50:00Z</dcterms:created>
  <dc:creator>幸年</dc:creator>
  <cp:lastModifiedBy>幸年</cp:lastModifiedBy>
  <dcterms:modified xsi:type="dcterms:W3CDTF">2026-01-23T03:08:34Z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2DDB5A43F6344AC5A5962C3141DD895C_11</vt:lpwstr>
  </property>
  <property fmtid="{D5CDD505-2E9C-101B-9397-08002B2CF9AE}" pid="4" name="KSOTemplateDocerSaveRecord">
    <vt:lpwstr>eyJoZGlkIjoiOGU4ZGU3NjIyZDZhYTcyMzZkMWYyOTZlZDRkMTA5YWUiLCJ1c2VySWQiOiI0NzQwNjU5NDEifQ==</vt:lpwstr>
  </property>
</Properties>
</file>