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5525">
      <w:pPr>
        <w:keepNext w:val="0"/>
        <w:keepLines w:val="0"/>
        <w:pageBreakBefore w:val="0"/>
        <w:kinsoku/>
        <w:overflowPunct/>
        <w:topLinePunct w:val="0"/>
        <w:autoSpaceDE/>
        <w:autoSpaceDN/>
        <w:bidi w:val="0"/>
        <w:adjustRightInd/>
        <w:snapToGrid/>
        <w:spacing w:afterAutospacing="0" w:line="580" w:lineRule="exact"/>
        <w:ind w:right="0"/>
        <w:jc w:val="center"/>
        <w:textAlignment w:val="auto"/>
        <w:rPr>
          <w:rFonts w:hint="eastAsia" w:ascii="方正公文小标宋" w:hAnsi="方正公文小标宋" w:eastAsia="方正公文小标宋" w:cs="方正公文小标宋"/>
          <w:i w:val="0"/>
          <w:iCs w:val="0"/>
          <w:caps w:val="0"/>
          <w:color w:val="000000" w:themeColor="text1"/>
          <w:spacing w:val="0"/>
          <w:sz w:val="44"/>
          <w:szCs w:val="44"/>
          <w:shd w:val="clear" w:fill="FFFFFF"/>
          <w14:textFill>
            <w14:solidFill>
              <w14:schemeClr w14:val="tx1"/>
            </w14:solidFill>
          </w14:textFill>
        </w:rPr>
      </w:pPr>
      <w:r>
        <w:rPr>
          <w:rFonts w:hint="eastAsia" w:ascii="方正公文小标宋" w:hAnsi="方正公文小标宋" w:eastAsia="方正公文小标宋" w:cs="方正公文小标宋"/>
          <w:i w:val="0"/>
          <w:iCs w:val="0"/>
          <w:caps w:val="0"/>
          <w:color w:val="000000" w:themeColor="text1"/>
          <w:spacing w:val="0"/>
          <w:sz w:val="44"/>
          <w:szCs w:val="44"/>
          <w:shd w:val="clear" w:fill="FFFFFF"/>
          <w14:textFill>
            <w14:solidFill>
              <w14:schemeClr w14:val="tx1"/>
            </w14:solidFill>
          </w14:textFill>
        </w:rPr>
        <w:t>枣庄高新区兴仁街道</w:t>
      </w:r>
      <w:r>
        <w:rPr>
          <w:rFonts w:hint="eastAsia" w:ascii="方正公文小标宋" w:hAnsi="方正公文小标宋" w:eastAsia="方正公文小标宋" w:cs="方正公文小标宋"/>
          <w:i w:val="0"/>
          <w:iCs w:val="0"/>
          <w:caps w:val="0"/>
          <w:color w:val="000000" w:themeColor="text1"/>
          <w:spacing w:val="0"/>
          <w:sz w:val="44"/>
          <w:szCs w:val="44"/>
          <w:shd w:val="clear" w:fill="FFFFFF"/>
          <w:lang w:val="en-US" w:eastAsia="zh-CN"/>
          <w14:textFill>
            <w14:solidFill>
              <w14:schemeClr w14:val="tx1"/>
            </w14:solidFill>
          </w14:textFill>
        </w:rPr>
        <w:t>办事处</w:t>
      </w:r>
      <w:r>
        <w:rPr>
          <w:rFonts w:hint="eastAsia" w:ascii="方正公文小标宋" w:hAnsi="方正公文小标宋" w:eastAsia="方正公文小标宋" w:cs="方正公文小标宋"/>
          <w:i w:val="0"/>
          <w:iCs w:val="0"/>
          <w:caps w:val="0"/>
          <w:color w:val="000000" w:themeColor="text1"/>
          <w:spacing w:val="0"/>
          <w:sz w:val="44"/>
          <w:szCs w:val="44"/>
          <w:shd w:val="clear" w:fill="FFFFFF"/>
          <w14:textFill>
            <w14:solidFill>
              <w14:schemeClr w14:val="tx1"/>
            </w14:solidFill>
          </w14:textFill>
        </w:rPr>
        <w:t>202</w:t>
      </w:r>
      <w:r>
        <w:rPr>
          <w:rFonts w:hint="eastAsia" w:ascii="方正公文小标宋" w:hAnsi="方正公文小标宋" w:eastAsia="方正公文小标宋" w:cs="方正公文小标宋"/>
          <w:i w:val="0"/>
          <w:iCs w:val="0"/>
          <w:caps w:val="0"/>
          <w:color w:val="000000" w:themeColor="text1"/>
          <w:spacing w:val="0"/>
          <w:sz w:val="44"/>
          <w:szCs w:val="44"/>
          <w:shd w:val="clear" w:fill="FFFFFF"/>
          <w:lang w:val="en-US" w:eastAsia="zh-CN"/>
          <w14:textFill>
            <w14:solidFill>
              <w14:schemeClr w14:val="tx1"/>
            </w14:solidFill>
          </w14:textFill>
        </w:rPr>
        <w:t>5</w:t>
      </w:r>
      <w:r>
        <w:rPr>
          <w:rFonts w:hint="eastAsia" w:ascii="方正公文小标宋" w:hAnsi="方正公文小标宋" w:eastAsia="方正公文小标宋" w:cs="方正公文小标宋"/>
          <w:i w:val="0"/>
          <w:iCs w:val="0"/>
          <w:caps w:val="0"/>
          <w:color w:val="000000" w:themeColor="text1"/>
          <w:spacing w:val="0"/>
          <w:sz w:val="44"/>
          <w:szCs w:val="44"/>
          <w:shd w:val="clear" w:fill="FFFFFF"/>
          <w14:textFill>
            <w14:solidFill>
              <w14:schemeClr w14:val="tx1"/>
            </w14:solidFill>
          </w14:textFill>
        </w:rPr>
        <w:t>年</w:t>
      </w:r>
    </w:p>
    <w:p w14:paraId="20388BB2">
      <w:pPr>
        <w:keepNext w:val="0"/>
        <w:keepLines w:val="0"/>
        <w:pageBreakBefore w:val="0"/>
        <w:kinsoku/>
        <w:overflowPunct/>
        <w:topLinePunct w:val="0"/>
        <w:autoSpaceDE/>
        <w:autoSpaceDN/>
        <w:bidi w:val="0"/>
        <w:adjustRightInd/>
        <w:snapToGrid/>
        <w:spacing w:afterAutospacing="0" w:line="580" w:lineRule="exact"/>
        <w:ind w:right="0"/>
        <w:jc w:val="center"/>
        <w:textAlignment w:val="auto"/>
        <w:rPr>
          <w:rFonts w:hint="eastAsia" w:ascii="仿宋_GB2312" w:hAnsi="仿宋_GB2312" w:eastAsia="仿宋_GB2312" w:cs="仿宋_GB2312"/>
          <w:i w:val="0"/>
          <w:iCs w:val="0"/>
          <w:caps w:val="0"/>
          <w:color w:val="000000" w:themeColor="text1"/>
          <w:spacing w:val="0"/>
          <w:sz w:val="44"/>
          <w:szCs w:val="44"/>
          <w:shd w:val="clear" w:fill="FFFFFF"/>
          <w14:textFill>
            <w14:solidFill>
              <w14:schemeClr w14:val="tx1"/>
            </w14:solidFill>
          </w14:textFill>
        </w:rPr>
      </w:pPr>
      <w:r>
        <w:rPr>
          <w:rFonts w:hint="eastAsia" w:ascii="方正公文小标宋" w:hAnsi="方正公文小标宋" w:eastAsia="方正公文小标宋" w:cs="方正公文小标宋"/>
          <w:i w:val="0"/>
          <w:iCs w:val="0"/>
          <w:caps w:val="0"/>
          <w:color w:val="000000" w:themeColor="text1"/>
          <w:spacing w:val="0"/>
          <w:sz w:val="44"/>
          <w:szCs w:val="44"/>
          <w:shd w:val="clear" w:fill="FFFFFF"/>
          <w14:textFill>
            <w14:solidFill>
              <w14:schemeClr w14:val="tx1"/>
            </w14:solidFill>
          </w14:textFill>
        </w:rPr>
        <w:t>政府信息公开工作年度报告</w:t>
      </w:r>
    </w:p>
    <w:p w14:paraId="4A046E6C">
      <w:pPr>
        <w:keepNext w:val="0"/>
        <w:keepLines w:val="0"/>
        <w:pageBreakBefore w:val="0"/>
        <w:kinsoku/>
        <w:overflowPunct/>
        <w:topLinePunct w:val="0"/>
        <w:autoSpaceDE/>
        <w:autoSpaceDN/>
        <w:bidi w:val="0"/>
        <w:adjustRightInd/>
        <w:snapToGrid/>
        <w:spacing w:afterAutospacing="0" w:line="580" w:lineRule="exact"/>
        <w:ind w:right="0"/>
        <w:textAlignment w:val="auto"/>
        <w:rPr>
          <w:rFonts w:hint="eastAsia" w:ascii="仿宋_GB2312" w:hAnsi="仿宋_GB2312" w:eastAsia="仿宋_GB2312" w:cs="仿宋_GB2312"/>
          <w:i w:val="0"/>
          <w:iCs w:val="0"/>
          <w:caps w:val="0"/>
          <w:color w:val="FF0000"/>
          <w:spacing w:val="0"/>
          <w:sz w:val="32"/>
          <w:szCs w:val="32"/>
          <w:shd w:val="clear" w:fill="FFFFFF"/>
          <w:lang w:val="en-US" w:eastAsia="zh-CN"/>
        </w:rPr>
      </w:pPr>
    </w:p>
    <w:p w14:paraId="5F54FC4E">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年以来，</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枣庄高新区兴仁街道办事处</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认真贯彻落实《中华人民共和国政府信息公开条例》（国务院令第711号，以下简称《条例》）精神，现依据《</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条例</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》和《枣庄市人民政府办公室关于做好202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年政府信息公开工作年度报告编制和发布工作的通知》要求，编制本报告，本年度报告中所列数据的统计期限自202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年1月1日起至202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年12月31日止。</w:t>
      </w:r>
      <w:r>
        <w:rPr>
          <w:rFonts w:hint="eastAsia" w:ascii="仿宋_GB2312" w:hAnsi="仿宋_GB2312" w:eastAsia="仿宋_GB2312" w:cs="仿宋_GB2312"/>
          <w:color w:val="000000" w:themeColor="text1"/>
          <w:sz w:val="32"/>
          <w:szCs w:val="32"/>
          <w:highlight w:val="none"/>
          <w14:textFill>
            <w14:solidFill>
              <w14:schemeClr w14:val="tx1"/>
            </w14:solidFill>
          </w14:textFill>
        </w:rPr>
        <w:t>本报告全文将在枣庄高新区官</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网（http://www.zzctp.gov.cn/）“政</w:t>
      </w:r>
      <w:r>
        <w:rPr>
          <w:rFonts w:hint="eastAsia" w:ascii="仿宋_GB2312" w:hAnsi="仿宋_GB2312" w:eastAsia="仿宋_GB2312" w:cs="仿宋_GB2312"/>
          <w:color w:val="000000" w:themeColor="text1"/>
          <w:sz w:val="32"/>
          <w:szCs w:val="32"/>
          <w:highlight w:val="none"/>
          <w14:textFill>
            <w14:solidFill>
              <w14:schemeClr w14:val="tx1"/>
            </w14:solidFill>
          </w14:textFill>
        </w:rPr>
        <w:t>府信息公开年度报告”专栏公布。</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如对本报告有疑问，可与枣庄高新区兴仁街道</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办事处</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联系（联系电话:0632-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8690866</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，电子邮箱:xingrenjiedao@126.c</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om）</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本文包括总体情况、主动公开政府信息、收到和处理政府信息公开申请、政府信息公开行政复议、行政诉讼、存在的主要问题及改进和其他需报告的事项等情况。</w:t>
      </w:r>
    </w:p>
    <w:p w14:paraId="51F2552D">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—、总体情况</w:t>
      </w:r>
    </w:p>
    <w:p w14:paraId="52210B40">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年以来，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枣庄高新区兴仁街道办事处积极做好政府信息公开各项工作，对应公开的政府信息全部予以公开，确保公开信息及时、准确、透明，对不符合要求的、旧的信息和内容及时进行清理完善、更新，全力保障政府信息公开工作的顺利开展。</w:t>
      </w:r>
    </w:p>
    <w:p w14:paraId="4B9AB562">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（一）主动公开工作情况</w:t>
      </w:r>
    </w:p>
    <w:p w14:paraId="6FD6731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兴仁</w:t>
      </w:r>
      <w:r>
        <w:rPr>
          <w:rFonts w:hint="eastAsia" w:ascii="仿宋_GB2312" w:hAnsi="仿宋_GB2312" w:eastAsia="仿宋_GB2312" w:cs="仿宋_GB2312"/>
          <w:color w:val="auto"/>
          <w:sz w:val="32"/>
          <w:szCs w:val="32"/>
        </w:rPr>
        <w:t>街道主</w:t>
      </w:r>
      <w:r>
        <w:rPr>
          <w:rFonts w:hint="default" w:ascii="仿宋_GB2312" w:hAnsi="仿宋_GB2312" w:eastAsia="仿宋_GB2312" w:cs="仿宋_GB2312"/>
          <w:color w:val="auto"/>
          <w:sz w:val="32"/>
          <w:szCs w:val="32"/>
        </w:rPr>
        <w:t>动公开政府信息</w:t>
      </w:r>
      <w:r>
        <w:rPr>
          <w:rFonts w:hint="eastAsia" w:ascii="仿宋_GB2312" w:hAnsi="仿宋_GB2312" w:eastAsia="仿宋_GB2312" w:cs="仿宋_GB2312"/>
          <w:color w:val="auto"/>
          <w:sz w:val="32"/>
          <w:szCs w:val="32"/>
          <w:lang w:val="en-US" w:eastAsia="zh-CN"/>
        </w:rPr>
        <w:t>65余</w:t>
      </w:r>
      <w:r>
        <w:rPr>
          <w:rFonts w:hint="default"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通过政府门户网站公开政府信息</w:t>
      </w:r>
      <w:r>
        <w:rPr>
          <w:rFonts w:hint="eastAsia" w:ascii="仿宋_GB2312" w:hAnsi="仿宋_GB2312" w:eastAsia="仿宋_GB2312" w:cs="仿宋_GB2312"/>
          <w:color w:val="auto"/>
          <w:sz w:val="32"/>
          <w:szCs w:val="32"/>
          <w:lang w:val="en-US" w:eastAsia="zh-CN"/>
        </w:rPr>
        <w:t>65</w:t>
      </w:r>
      <w:r>
        <w:rPr>
          <w:rFonts w:hint="eastAsia" w:ascii="仿宋_GB2312" w:hAnsi="仿宋_GB2312" w:eastAsia="仿宋_GB2312" w:cs="仿宋_GB2312"/>
          <w:color w:val="auto"/>
          <w:sz w:val="32"/>
          <w:szCs w:val="32"/>
        </w:rPr>
        <w:t>条，会议公开方面，202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年共召开</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val="en-US" w:eastAsia="zh-CN"/>
        </w:rPr>
        <w:t>街道主任</w:t>
      </w:r>
      <w:r>
        <w:rPr>
          <w:rFonts w:hint="eastAsia" w:ascii="仿宋_GB2312" w:hAnsi="仿宋_GB2312" w:eastAsia="仿宋_GB2312" w:cs="仿宋_GB2312"/>
          <w:color w:val="auto"/>
          <w:sz w:val="32"/>
          <w:szCs w:val="32"/>
        </w:rPr>
        <w:t>办公会议、</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次专题会议。其中，采取</w:t>
      </w:r>
      <w:r>
        <w:rPr>
          <w:rFonts w:hint="eastAsia" w:ascii="仿宋_GB2312" w:hAnsi="仿宋_GB2312" w:eastAsia="仿宋_GB2312" w:cs="仿宋_GB2312"/>
          <w:color w:val="auto"/>
          <w:sz w:val="32"/>
          <w:szCs w:val="32"/>
          <w:lang w:eastAsia="zh-CN"/>
        </w:rPr>
        <w:t>新闻稿、</w:t>
      </w:r>
      <w:r>
        <w:rPr>
          <w:rFonts w:hint="eastAsia" w:ascii="仿宋_GB2312" w:hAnsi="仿宋_GB2312" w:eastAsia="仿宋_GB2312" w:cs="仿宋_GB2312"/>
          <w:color w:val="auto"/>
          <w:sz w:val="32"/>
          <w:szCs w:val="32"/>
        </w:rPr>
        <w:t>广播电视</w:t>
      </w:r>
      <w:r>
        <w:rPr>
          <w:rFonts w:hint="eastAsia" w:ascii="仿宋_GB2312" w:hAnsi="仿宋_GB2312" w:eastAsia="仿宋_GB2312" w:cs="仿宋_GB2312"/>
          <w:color w:val="auto"/>
          <w:sz w:val="32"/>
          <w:szCs w:val="32"/>
          <w:lang w:eastAsia="zh-CN"/>
        </w:rPr>
        <w:t>、网络</w:t>
      </w:r>
      <w:r>
        <w:rPr>
          <w:rFonts w:hint="eastAsia" w:ascii="仿宋_GB2312" w:hAnsi="仿宋_GB2312" w:eastAsia="仿宋_GB2312" w:cs="仿宋_GB2312"/>
          <w:color w:val="auto"/>
          <w:sz w:val="32"/>
          <w:szCs w:val="32"/>
        </w:rPr>
        <w:t>和新媒体等形式向社会公开了</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val="en-US" w:eastAsia="zh-CN"/>
        </w:rPr>
        <w:t>街道主任</w:t>
      </w:r>
      <w:r>
        <w:rPr>
          <w:rFonts w:hint="eastAsia" w:ascii="仿宋_GB2312" w:hAnsi="仿宋_GB2312" w:eastAsia="仿宋_GB2312" w:cs="仿宋_GB2312"/>
          <w:color w:val="auto"/>
          <w:sz w:val="32"/>
          <w:szCs w:val="32"/>
        </w:rPr>
        <w:t>办公会议。</w:t>
      </w:r>
    </w:p>
    <w:p w14:paraId="5FE3287F">
      <w:pPr>
        <w:jc w:val="center"/>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eastAsia="zh-CN"/>
        </w:rPr>
        <w:drawing>
          <wp:inline distT="0" distB="0" distL="114300" distR="114300">
            <wp:extent cx="4681220" cy="3253105"/>
            <wp:effectExtent l="0" t="0" r="5080" b="4445"/>
            <wp:docPr id="4" name="图片 4" descr="937af2e859b60f60f2e16d25e95ff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37af2e859b60f60f2e16d25e95ff667"/>
                    <pic:cNvPicPr>
                      <a:picLocks noChangeAspect="1"/>
                    </pic:cNvPicPr>
                  </pic:nvPicPr>
                  <pic:blipFill>
                    <a:blip r:embed="rId4"/>
                    <a:stretch>
                      <a:fillRect/>
                    </a:stretch>
                  </pic:blipFill>
                  <pic:spPr>
                    <a:xfrm>
                      <a:off x="0" y="0"/>
                      <a:ext cx="4681220" cy="3253105"/>
                    </a:xfrm>
                    <a:prstGeom prst="rect">
                      <a:avLst/>
                    </a:prstGeom>
                  </pic:spPr>
                </pic:pic>
              </a:graphicData>
            </a:graphic>
          </wp:inline>
        </w:drawing>
      </w:r>
    </w:p>
    <w:p w14:paraId="0630258C">
      <w:pPr>
        <w:ind w:firstLine="420" w:firstLineChars="200"/>
        <w:jc w:val="left"/>
        <w:rPr>
          <w:rFonts w:hint="default" w:ascii="仿宋_GB2312" w:hAnsi="仿宋_GB2312" w:eastAsia="仿宋_GB2312" w:cs="仿宋_GB2312"/>
          <w:color w:val="FF0000"/>
          <w:sz w:val="32"/>
          <w:szCs w:val="32"/>
          <w:lang w:val="en-US" w:eastAsia="zh-CN"/>
        </w:rPr>
      </w:pPr>
      <w:r>
        <w:drawing>
          <wp:inline distT="0" distB="0" distL="114300" distR="114300">
            <wp:extent cx="4622165" cy="3076575"/>
            <wp:effectExtent l="0" t="0" r="698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4622165" cy="3076575"/>
                    </a:xfrm>
                    <a:prstGeom prst="rect">
                      <a:avLst/>
                    </a:prstGeom>
                    <a:noFill/>
                    <a:ln>
                      <a:noFill/>
                    </a:ln>
                  </pic:spPr>
                </pic:pic>
              </a:graphicData>
            </a:graphic>
          </wp:inline>
        </w:drawing>
      </w:r>
    </w:p>
    <w:p w14:paraId="10DBAF53">
      <w:pPr>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（二）依申请公开</w:t>
      </w:r>
    </w:p>
    <w:p w14:paraId="4FC0AB12">
      <w:pPr>
        <w:ind w:firstLine="640"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rPr>
        <w:t>收到和处理政府信息公开申请情况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街道严格按照各级工作要求，依《中华人民共和国政府信息公开条例》，严格规范依申请公开办理流程，加强政府信息依申请公开事项办理标准化规范化建设，确保政府信息公开申请渠道畅通。</w:t>
      </w:r>
      <w:r>
        <w:rPr>
          <w:rFonts w:hint="eastAsia" w:ascii="仿宋_GB2312" w:hAnsi="仿宋_GB2312" w:eastAsia="仿宋_GB2312" w:cs="仿宋_GB2312"/>
          <w:color w:val="auto"/>
          <w:sz w:val="32"/>
          <w:szCs w:val="32"/>
          <w:lang w:val="en-US" w:eastAsia="zh-CN"/>
        </w:rPr>
        <w:t>2025年枣庄高新区兴仁街道</w:t>
      </w:r>
      <w:r>
        <w:rPr>
          <w:rFonts w:hint="eastAsia" w:ascii="仿宋_GB2312" w:hAnsi="仿宋_GB2312" w:eastAsia="仿宋_GB2312" w:cs="仿宋_GB2312"/>
          <w:color w:val="auto"/>
          <w:sz w:val="32"/>
          <w:szCs w:val="32"/>
        </w:rPr>
        <w:t>共收到依申请公开件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件（其中官网收到</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件，信件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highlight w:val="none"/>
        </w:rPr>
        <w:t>，按时回复</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与24年相比增加7条。兴仁</w:t>
      </w:r>
      <w:r>
        <w:rPr>
          <w:rFonts w:hint="eastAsia" w:ascii="仿宋_GB2312" w:hAnsi="仿宋_GB2312" w:eastAsia="仿宋_GB2312" w:cs="仿宋_GB2312"/>
          <w:color w:val="auto"/>
          <w:sz w:val="32"/>
          <w:szCs w:val="32"/>
          <w:highlight w:val="none"/>
        </w:rPr>
        <w:t>街道公</w:t>
      </w:r>
      <w:r>
        <w:rPr>
          <w:rFonts w:hint="eastAsia" w:ascii="仿宋_GB2312" w:hAnsi="仿宋_GB2312" w:eastAsia="仿宋_GB2312" w:cs="仿宋_GB2312"/>
          <w:color w:val="auto"/>
          <w:sz w:val="32"/>
          <w:szCs w:val="32"/>
        </w:rPr>
        <w:t>开行政复议</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件，政府信息公开行政诉讼总数</w:t>
      </w:r>
      <w:r>
        <w:rPr>
          <w:rFonts w:hint="eastAsia" w:ascii="仿宋_GB2312" w:hAnsi="仿宋_GB2312" w:eastAsia="仿宋_GB2312" w:cs="仿宋_GB2312"/>
          <w:color w:val="auto"/>
          <w:sz w:val="32"/>
          <w:szCs w:val="32"/>
          <w:lang w:val="en-US" w:eastAsia="zh-CN"/>
        </w:rPr>
        <w:t>0</w:t>
      </w:r>
      <w:bookmarkStart w:id="10" w:name="_GoBack"/>
      <w:bookmarkEnd w:id="10"/>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eastAsia="zh-CN"/>
        </w:rPr>
        <w:t>。</w:t>
      </w:r>
    </w:p>
    <w:p w14:paraId="7B0576D6">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1D23D40F">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（三）政府信息管理</w:t>
      </w:r>
    </w:p>
    <w:p w14:paraId="66C8F2AC">
      <w:p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贯彻落实规范公文公开源头管理工作要求，进一步加强公文公开审查，规范公文公开标注方式。对于全文公开或删减公开类的公文，每月均下发提醒函督促各有关科室、单位依法依规进行公开，确保法定公开事项主动公开到位。落实“三审三校”制度，加强信息发布前审核，确保发布的信息规范、及时、完整、正确。做好政府信息管理动态调整，定期排查清理失效内容。</w:t>
      </w:r>
    </w:p>
    <w:p w14:paraId="693483DE">
      <w:pPr>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（四）政府信息公开平台建设</w:t>
      </w:r>
    </w:p>
    <w:p w14:paraId="25BCD48B">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街道全严格按照《中华人民共和国政府信息公开条例》要求，及时报请区政府办审批，主要通过政府门户网站、政务服务管理平台、镇村政务公开栏等方式集中予以公开，确保社会各界人士能及时浏览了解。</w:t>
      </w:r>
    </w:p>
    <w:p w14:paraId="15FFE13F">
      <w:pPr>
        <w:ind w:firstLine="640" w:firstLineChars="200"/>
        <w:rPr>
          <w:rFonts w:hint="default"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（五）监督保障</w:t>
      </w:r>
    </w:p>
    <w:p w14:paraId="54B038E1">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本年度</w:t>
      </w:r>
      <w:r>
        <w:rPr>
          <w:rFonts w:hint="default" w:ascii="仿宋_GB2312" w:hAnsi="仿宋_GB2312" w:eastAsia="仿宋_GB2312" w:cs="仿宋_GB2312"/>
          <w:color w:val="auto"/>
          <w:sz w:val="32"/>
          <w:szCs w:val="32"/>
          <w:lang w:val="en-US" w:eastAsia="zh-CN"/>
        </w:rPr>
        <w:t>配备</w:t>
      </w:r>
      <w:r>
        <w:rPr>
          <w:rFonts w:hint="eastAsia" w:ascii="仿宋_GB2312" w:hAnsi="仿宋_GB2312" w:eastAsia="仿宋_GB2312" w:cs="仿宋_GB2312"/>
          <w:color w:val="auto"/>
          <w:sz w:val="32"/>
          <w:szCs w:val="32"/>
          <w:lang w:val="en-US" w:eastAsia="zh-CN"/>
        </w:rPr>
        <w:t>政务公开</w:t>
      </w:r>
      <w:r>
        <w:rPr>
          <w:rFonts w:hint="default" w:ascii="仿宋_GB2312" w:hAnsi="仿宋_GB2312" w:eastAsia="仿宋_GB2312" w:cs="仿宋_GB2312"/>
          <w:color w:val="auto"/>
          <w:sz w:val="32"/>
          <w:szCs w:val="32"/>
          <w:lang w:val="en-US" w:eastAsia="zh-CN"/>
        </w:rPr>
        <w:t>专职工作人员</w:t>
      </w:r>
      <w:r>
        <w:rPr>
          <w:rFonts w:hint="eastAsia" w:ascii="仿宋_GB2312" w:hAnsi="仿宋_GB2312" w:eastAsia="仿宋_GB2312" w:cs="仿宋_GB2312"/>
          <w:color w:val="auto"/>
          <w:sz w:val="32"/>
          <w:szCs w:val="32"/>
          <w:lang w:val="en-US" w:eastAsia="zh-CN"/>
        </w:rPr>
        <w:t>4人，严格根据《中华人民共和国政府信息公开条例》要求，加强对信息公开工作的监督指导，督促检查信息公开工作，对公开信息的数量、内容、审查程序、时效性等进行专项自查，整改发现的问题，压实责任，不断提高政府信息公开工作水平，切实保障公众知情权。重视社会评议，广泛听取社会各界的意见和建议，发挥社会监督、评议作用。</w:t>
      </w:r>
    </w:p>
    <w:p w14:paraId="38056A26">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i w:val="0"/>
          <w:iCs w:val="0"/>
          <w:caps w:val="0"/>
          <w:color w:val="auto"/>
          <w:spacing w:val="0"/>
          <w:sz w:val="32"/>
          <w:szCs w:val="32"/>
          <w:shd w:val="clear" w:fill="FFFFFF"/>
          <w:lang w:val="en-US" w:eastAsia="zh-CN"/>
        </w:rPr>
        <w:t>二、主动公开政府信息情况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2299"/>
        <w:gridCol w:w="1786"/>
        <w:gridCol w:w="1950"/>
        <w:gridCol w:w="2095"/>
      </w:tblGrid>
      <w:tr w14:paraId="22AB69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C09D47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第二十条第（一）项</w:t>
            </w:r>
          </w:p>
        </w:tc>
      </w:tr>
      <w:tr w14:paraId="2546D5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4E42CF2">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信息内容</w:t>
            </w:r>
          </w:p>
        </w:tc>
        <w:tc>
          <w:tcPr>
            <w:tcW w:w="1786"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CA82955">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本年制发件数</w:t>
            </w:r>
          </w:p>
        </w:tc>
        <w:tc>
          <w:tcPr>
            <w:tcW w:w="19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AF3CFAF">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本年废止件数</w:t>
            </w:r>
          </w:p>
        </w:tc>
        <w:tc>
          <w:tcPr>
            <w:tcW w:w="20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A3D6D7E">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现行有效件数</w:t>
            </w:r>
          </w:p>
        </w:tc>
      </w:tr>
      <w:tr w14:paraId="5F9FC9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 w:hRule="atLeast"/>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05C0A49">
            <w:pPr>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规章</w:t>
            </w:r>
          </w:p>
        </w:tc>
        <w:tc>
          <w:tcPr>
            <w:tcW w:w="1786"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A9F01B5">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w:t>
            </w:r>
          </w:p>
        </w:tc>
        <w:tc>
          <w:tcPr>
            <w:tcW w:w="19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B8C8AF7">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0</w:t>
            </w:r>
          </w:p>
        </w:tc>
        <w:tc>
          <w:tcPr>
            <w:tcW w:w="20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B77395C">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0</w:t>
            </w:r>
          </w:p>
        </w:tc>
      </w:tr>
      <w:tr w14:paraId="599FC9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A200077">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行政规范性文件</w:t>
            </w:r>
          </w:p>
        </w:tc>
        <w:tc>
          <w:tcPr>
            <w:tcW w:w="1786"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9BD63B0">
            <w:pPr>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w:t>
            </w:r>
          </w:p>
        </w:tc>
        <w:tc>
          <w:tcPr>
            <w:tcW w:w="19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87ED32F">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0</w:t>
            </w:r>
          </w:p>
        </w:tc>
        <w:tc>
          <w:tcPr>
            <w:tcW w:w="20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DE81845">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0</w:t>
            </w:r>
          </w:p>
        </w:tc>
      </w:tr>
      <w:tr w14:paraId="39FFA8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28F177A">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第二十条第（五）项</w:t>
            </w:r>
          </w:p>
        </w:tc>
      </w:tr>
      <w:tr w14:paraId="2E80AE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E84E394">
            <w:pPr>
              <w:tabs>
                <w:tab w:val="left" w:pos="234"/>
                <w:tab w:val="center" w:pos="1134"/>
              </w:tabs>
              <w:ind w:firstLine="321" w:firstLineChars="1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ab/>
            </w:r>
            <w:r>
              <w:rPr>
                <w:rFonts w:hint="eastAsia" w:ascii="仿宋_GB2312" w:hAnsi="仿宋_GB2312" w:eastAsia="仿宋_GB2312" w:cs="仿宋_GB2312"/>
                <w:b/>
                <w:bCs/>
                <w:color w:val="auto"/>
                <w:sz w:val="32"/>
                <w:szCs w:val="32"/>
              </w:rPr>
              <w:t>信息内容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793AB6A">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本年处理决定数量</w:t>
            </w:r>
          </w:p>
        </w:tc>
      </w:tr>
      <w:tr w14:paraId="28406C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5F040D6">
            <w:pPr>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行政许可</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EECC8F7">
            <w:pPr>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w:t>
            </w:r>
          </w:p>
        </w:tc>
      </w:tr>
      <w:tr w14:paraId="2E5212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5F12024">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第二十条第（六）项</w:t>
            </w:r>
          </w:p>
        </w:tc>
      </w:tr>
      <w:tr w14:paraId="017C37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16BD143">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信息内容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4136136">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本年处理决定数量</w:t>
            </w:r>
          </w:p>
        </w:tc>
      </w:tr>
      <w:tr w14:paraId="369FEC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3246920">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行政处罚</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2CEFE74">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w:t>
            </w:r>
          </w:p>
        </w:tc>
      </w:tr>
      <w:tr w14:paraId="0086C1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64B5936">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行政强制</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2D578D4">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w:t>
            </w:r>
          </w:p>
        </w:tc>
      </w:tr>
      <w:tr w14:paraId="4D834F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1527D43">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第二十条第（八）项</w:t>
            </w:r>
          </w:p>
        </w:tc>
      </w:tr>
      <w:tr w14:paraId="5ED166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333E006">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信息内容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1507528">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本年收费金额（单位：万元）</w:t>
            </w:r>
          </w:p>
        </w:tc>
      </w:tr>
      <w:tr w14:paraId="7B2738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89A2F3E">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行政事业性收费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17BF570">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w:t>
            </w:r>
          </w:p>
        </w:tc>
      </w:tr>
    </w:tbl>
    <w:p w14:paraId="736E1A8C">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80" w:lineRule="exact"/>
        <w:ind w:left="0" w:right="0" w:firstLine="640" w:firstLineChars="200"/>
        <w:textAlignment w:val="auto"/>
        <w:rPr>
          <w:rFonts w:hint="eastAsia" w:ascii="仿宋_GB2312" w:hAnsi="仿宋_GB2312" w:eastAsia="仿宋_GB2312" w:cs="仿宋_GB2312"/>
          <w:color w:val="auto"/>
          <w:spacing w:val="0"/>
          <w:sz w:val="32"/>
          <w:szCs w:val="32"/>
        </w:rPr>
      </w:pPr>
    </w:p>
    <w:p w14:paraId="2F9457ED">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8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2"/>
          <w:sz w:val="32"/>
          <w:szCs w:val="32"/>
          <w:lang w:val="en-US" w:eastAsia="zh-CN" w:bidi="ar-SA"/>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853"/>
        <w:gridCol w:w="1174"/>
        <w:gridCol w:w="2215"/>
        <w:gridCol w:w="547"/>
        <w:gridCol w:w="557"/>
        <w:gridCol w:w="557"/>
        <w:gridCol w:w="665"/>
        <w:gridCol w:w="646"/>
        <w:gridCol w:w="557"/>
        <w:gridCol w:w="745"/>
      </w:tblGrid>
      <w:tr w14:paraId="7D47EE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10" w:type="dxa"/>
            <w:gridSpan w:val="3"/>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09DEC5">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（本列数据的勾稽关系为：第一项加第二项之和，等于第三项加第四项之和）</w:t>
            </w:r>
          </w:p>
        </w:tc>
        <w:tc>
          <w:tcPr>
            <w:tcW w:w="4545" w:type="dxa"/>
            <w:gridSpan w:val="7"/>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B90082">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申请人情况</w:t>
            </w:r>
          </w:p>
        </w:tc>
      </w:tr>
      <w:tr w14:paraId="38E914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28ABB3">
            <w:pPr>
              <w:jc w:val="center"/>
              <w:rPr>
                <w:rFonts w:hint="eastAsia" w:ascii="仿宋_GB2312" w:hAnsi="仿宋_GB2312" w:eastAsia="仿宋_GB2312" w:cs="仿宋_GB2312"/>
                <w:b/>
                <w:bCs/>
                <w:color w:val="auto"/>
                <w:sz w:val="32"/>
                <w:szCs w:val="32"/>
              </w:rPr>
            </w:pPr>
          </w:p>
        </w:tc>
        <w:tc>
          <w:tcPr>
            <w:tcW w:w="55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074882">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自然人</w:t>
            </w:r>
          </w:p>
        </w:tc>
        <w:tc>
          <w:tcPr>
            <w:tcW w:w="3135"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37740B">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法人或其他组织</w:t>
            </w:r>
          </w:p>
        </w:tc>
        <w:tc>
          <w:tcPr>
            <w:tcW w:w="85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946238">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总计</w:t>
            </w:r>
          </w:p>
        </w:tc>
      </w:tr>
      <w:tr w14:paraId="23CA3A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25"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BF7773">
            <w:pPr>
              <w:jc w:val="center"/>
              <w:rPr>
                <w:rFonts w:hint="eastAsia" w:ascii="仿宋_GB2312" w:hAnsi="仿宋_GB2312" w:eastAsia="仿宋_GB2312" w:cs="仿宋_GB2312"/>
                <w:b/>
                <w:bCs/>
                <w:color w:val="auto"/>
                <w:sz w:val="32"/>
                <w:szCs w:val="32"/>
              </w:rPr>
            </w:pPr>
          </w:p>
        </w:tc>
        <w:tc>
          <w:tcPr>
            <w:tcW w:w="55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393B0A">
            <w:pPr>
              <w:jc w:val="center"/>
              <w:rPr>
                <w:rFonts w:hint="eastAsia" w:ascii="仿宋_GB2312" w:hAnsi="仿宋_GB2312" w:eastAsia="仿宋_GB2312" w:cs="仿宋_GB2312"/>
                <w:color w:val="auto"/>
                <w:sz w:val="32"/>
                <w:szCs w:val="32"/>
              </w:rPr>
            </w:pP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9330D8">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商业企业</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E9DCB6">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科研机构</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591F56">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社会公益组织</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EF4D07">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法律服务机构</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5B390D">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其他</w:t>
            </w:r>
          </w:p>
        </w:tc>
        <w:tc>
          <w:tcPr>
            <w:tcW w:w="85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BE2479">
            <w:pPr>
              <w:jc w:val="center"/>
              <w:rPr>
                <w:rFonts w:hint="eastAsia" w:ascii="仿宋_GB2312" w:hAnsi="仿宋_GB2312" w:eastAsia="仿宋_GB2312" w:cs="仿宋_GB2312"/>
                <w:color w:val="auto"/>
                <w:sz w:val="32"/>
                <w:szCs w:val="32"/>
              </w:rPr>
            </w:pPr>
          </w:p>
        </w:tc>
      </w:tr>
      <w:tr w14:paraId="4748D8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CFF5EF">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w:t>
            </w:r>
            <w:bookmarkStart w:id="0" w:name="_Hlk66973412"/>
            <w:r>
              <w:rPr>
                <w:rFonts w:hint="eastAsia" w:ascii="仿宋_GB2312" w:hAnsi="仿宋_GB2312" w:eastAsia="仿宋_GB2312" w:cs="仿宋_GB2312"/>
                <w:b/>
                <w:bCs/>
                <w:color w:val="auto"/>
                <w:sz w:val="32"/>
                <w:szCs w:val="32"/>
              </w:rPr>
              <w:t>本年新收政府信息公开申请数量</w:t>
            </w:r>
            <w:bookmarkEnd w:id="0"/>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E45C41">
            <w:pPr>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22DAB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0B284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10FB4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D5B2F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4DDF3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C75ED2">
            <w:pPr>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p>
        </w:tc>
      </w:tr>
      <w:tr w14:paraId="19BBFD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51B59F">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二、上年结转政府信息公开申请数量</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86E6AD">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059EF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134E5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1D8F56">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D10F9D">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7473E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BA5D1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445E39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2C5536">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三、本年度办理结果</w:t>
            </w: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FFAD3A">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（一）予以公开</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D42C8D">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AA932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DB137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D3447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6CFDA4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E01CCD">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464636">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w:t>
            </w:r>
          </w:p>
        </w:tc>
      </w:tr>
      <w:tr w14:paraId="6065CF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E15C27">
            <w:pPr>
              <w:jc w:val="center"/>
              <w:rPr>
                <w:rFonts w:hint="eastAsia" w:ascii="仿宋_GB2312" w:hAnsi="仿宋_GB2312" w:eastAsia="仿宋_GB2312" w:cs="仿宋_GB2312"/>
                <w:b/>
                <w:bCs/>
                <w:color w:val="auto"/>
                <w:sz w:val="32"/>
                <w:szCs w:val="32"/>
              </w:rPr>
            </w:pP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EB9209">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（二）部分公开（</w:t>
            </w:r>
            <w:bookmarkStart w:id="1" w:name="_Hlk66973981"/>
            <w:r>
              <w:rPr>
                <w:rFonts w:hint="eastAsia" w:ascii="仿宋_GB2312" w:hAnsi="仿宋_GB2312" w:eastAsia="仿宋_GB2312" w:cs="仿宋_GB2312"/>
                <w:b/>
                <w:bCs/>
                <w:color w:val="auto"/>
                <w:sz w:val="32"/>
                <w:szCs w:val="32"/>
              </w:rPr>
              <w:t>区分处理的，只计这一情形，不计其他情形</w:t>
            </w:r>
            <w:bookmarkEnd w:id="1"/>
            <w:r>
              <w:rPr>
                <w:rFonts w:hint="eastAsia" w:ascii="仿宋_GB2312" w:hAnsi="仿宋_GB2312" w:eastAsia="仿宋_GB2312" w:cs="仿宋_GB2312"/>
                <w:b/>
                <w:bCs/>
                <w:color w:val="auto"/>
                <w:sz w:val="32"/>
                <w:szCs w:val="32"/>
              </w:rPr>
              <w:t>）</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32AD0B">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B3578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6338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6D3AE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449CD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6B9770">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14E931">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0</w:t>
            </w:r>
          </w:p>
        </w:tc>
      </w:tr>
      <w:tr w14:paraId="7027FA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7C5408">
            <w:pPr>
              <w:jc w:val="center"/>
              <w:rPr>
                <w:rFonts w:hint="eastAsia" w:ascii="仿宋_GB2312" w:hAnsi="仿宋_GB2312" w:eastAsia="仿宋_GB2312" w:cs="仿宋_GB2312"/>
                <w:b/>
                <w:bCs/>
                <w:color w:val="auto"/>
                <w:sz w:val="32"/>
                <w:szCs w:val="32"/>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29EAAC6">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（三）不予公开</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26C3515">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1.属于国家秘密</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CCF663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7C9CB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74335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92E4A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50E4B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BA32A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E692B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58D725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7503E3">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C746D2">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12483A">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bookmarkStart w:id="2" w:name="_Hlk66974104"/>
            <w:r>
              <w:rPr>
                <w:rFonts w:hint="eastAsia" w:ascii="仿宋_GB2312" w:hAnsi="仿宋_GB2312" w:eastAsia="仿宋_GB2312" w:cs="仿宋_GB2312"/>
                <w:b/>
                <w:bCs/>
                <w:color w:val="auto"/>
                <w:sz w:val="32"/>
                <w:szCs w:val="32"/>
              </w:rPr>
              <w:t>其他法律行政法规禁止公开</w:t>
            </w:r>
            <w:bookmarkEnd w:id="2"/>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CD9773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269C3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F0D32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137F4D">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013660">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47B816">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E9093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769BF2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48AF06">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C2AED1">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F76DC2">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3.危及“三安全一稳定”</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15735D">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A36B5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6EFD0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92E0B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FA6B8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80542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3F07F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1610E6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E4AA68">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428965">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775647">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w:t>
            </w:r>
            <w:bookmarkStart w:id="3" w:name="_Hlk66974290"/>
            <w:r>
              <w:rPr>
                <w:rFonts w:hint="eastAsia" w:ascii="仿宋_GB2312" w:hAnsi="仿宋_GB2312" w:eastAsia="仿宋_GB2312" w:cs="仿宋_GB2312"/>
                <w:b/>
                <w:bCs/>
                <w:color w:val="auto"/>
                <w:sz w:val="32"/>
                <w:szCs w:val="32"/>
              </w:rPr>
              <w:t>保护第三方合法权益</w:t>
            </w:r>
            <w:bookmarkEnd w:id="3"/>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1EA2D6">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F2C9E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9FFF9D">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6F874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1AE3D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52BA3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9BF150">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0</w:t>
            </w:r>
          </w:p>
        </w:tc>
      </w:tr>
      <w:tr w14:paraId="62FFD3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9BD2BC">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ED7187">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E7C4EC">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5.属于三类内部事务信息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22B4CF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A6000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374CD0">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7A950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14180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E01CB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47550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1F04F2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3B851F">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3E9318">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F5FB2A">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w:t>
            </w:r>
            <w:bookmarkStart w:id="4" w:name="_Hlk66974555"/>
            <w:r>
              <w:rPr>
                <w:rFonts w:hint="eastAsia" w:ascii="仿宋_GB2312" w:hAnsi="仿宋_GB2312" w:eastAsia="仿宋_GB2312" w:cs="仿宋_GB2312"/>
                <w:b/>
                <w:bCs/>
                <w:color w:val="auto"/>
                <w:sz w:val="32"/>
                <w:szCs w:val="32"/>
              </w:rPr>
              <w:t>属于四类过程性信息</w:t>
            </w:r>
            <w:bookmarkEnd w:id="4"/>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631D71">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A2A1A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F73BE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6A732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10355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9B99FE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28C18D">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0</w:t>
            </w:r>
          </w:p>
        </w:tc>
      </w:tr>
      <w:tr w14:paraId="01DCB9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469373">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40D70A">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5EA37D">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7.属于行政执法案卷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9ED0D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39D30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6F0A0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4A9E8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392E6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ED721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F8F92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51F193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696261">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D946DC">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E9FE44">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8.</w:t>
            </w:r>
            <w:bookmarkStart w:id="5" w:name="_Hlk66975211"/>
            <w:r>
              <w:rPr>
                <w:rFonts w:hint="eastAsia" w:ascii="仿宋_GB2312" w:hAnsi="仿宋_GB2312" w:eastAsia="仿宋_GB2312" w:cs="仿宋_GB2312"/>
                <w:b/>
                <w:bCs/>
                <w:color w:val="auto"/>
                <w:sz w:val="32"/>
                <w:szCs w:val="32"/>
              </w:rPr>
              <w:t>属于行政查询事项</w:t>
            </w:r>
            <w:bookmarkEnd w:id="5"/>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5F88C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5E350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71307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5D6970">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44D7B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35A67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CC31D66">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51FEBA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F5BAD">
            <w:pPr>
              <w:jc w:val="center"/>
              <w:rPr>
                <w:rFonts w:hint="eastAsia" w:ascii="仿宋_GB2312" w:hAnsi="仿宋_GB2312" w:eastAsia="仿宋_GB2312" w:cs="仿宋_GB2312"/>
                <w:b/>
                <w:bCs/>
                <w:color w:val="auto"/>
                <w:sz w:val="32"/>
                <w:szCs w:val="32"/>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A62BFC">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（四）无法提供</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538664">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1.本机关不掌握相关政府信息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187EE5">
            <w:pPr>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0770A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A8CBE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DD27E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50349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E47C8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4D51BD">
            <w:pPr>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p>
        </w:tc>
      </w:tr>
      <w:tr w14:paraId="2D7253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1ADFD3">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4C693E">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8FA136">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bookmarkStart w:id="6" w:name="_Hlk66975392"/>
            <w:r>
              <w:rPr>
                <w:rFonts w:hint="eastAsia" w:ascii="仿宋_GB2312" w:hAnsi="仿宋_GB2312" w:eastAsia="仿宋_GB2312" w:cs="仿宋_GB2312"/>
                <w:b/>
                <w:bCs/>
                <w:color w:val="auto"/>
                <w:sz w:val="32"/>
                <w:szCs w:val="32"/>
              </w:rPr>
              <w:t>没有现成信息需要另行制作</w:t>
            </w:r>
            <w:bookmarkEnd w:id="6"/>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8015E0">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E5196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70CE0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F2906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D4B17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7F3C70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9C409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002A69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9ABB21">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77A000">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369BAB">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w:t>
            </w:r>
            <w:bookmarkStart w:id="7" w:name="_Hlk66975466"/>
            <w:r>
              <w:rPr>
                <w:rFonts w:hint="eastAsia" w:ascii="仿宋_GB2312" w:hAnsi="仿宋_GB2312" w:eastAsia="仿宋_GB2312" w:cs="仿宋_GB2312"/>
                <w:b/>
                <w:bCs/>
                <w:color w:val="auto"/>
                <w:sz w:val="32"/>
                <w:szCs w:val="32"/>
              </w:rPr>
              <w:t>补正后申请内容仍不明确</w:t>
            </w:r>
            <w:bookmarkEnd w:id="7"/>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630E5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24082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FE129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025B4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94851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B9D08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AE790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24AEBE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31BBC4">
            <w:pPr>
              <w:jc w:val="center"/>
              <w:rPr>
                <w:rFonts w:hint="eastAsia" w:ascii="仿宋_GB2312" w:hAnsi="仿宋_GB2312" w:eastAsia="仿宋_GB2312" w:cs="仿宋_GB2312"/>
                <w:b/>
                <w:bCs/>
                <w:color w:val="auto"/>
                <w:sz w:val="32"/>
                <w:szCs w:val="32"/>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4A4AD4">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（五）不予处理</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AC555B">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bookmarkStart w:id="8" w:name="_Hlk66975537"/>
            <w:r>
              <w:rPr>
                <w:rFonts w:hint="eastAsia" w:ascii="仿宋_GB2312" w:hAnsi="仿宋_GB2312" w:eastAsia="仿宋_GB2312" w:cs="仿宋_GB2312"/>
                <w:b/>
                <w:bCs/>
                <w:color w:val="auto"/>
                <w:sz w:val="32"/>
                <w:szCs w:val="32"/>
              </w:rPr>
              <w:t>信访举报投诉类申请</w:t>
            </w:r>
            <w:bookmarkEnd w:id="8"/>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D1D4A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F5415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00D1F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0B9E6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8BE25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CB2D9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43334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3D3E5C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26E269">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37F671">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2FFD18">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2.重复申请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75C21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3861E6">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04415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8C0B8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6080F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FD601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F3757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71641C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751BE1">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03CC56">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07CD1C">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3.要求提供公开出版物</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80CD8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6C85ED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382F2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ED5446">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50A5B0">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8C80E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71E6C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6A95DB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C07342">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B37D1A">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4D9F67">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4.无正当理由大量反复申请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6DE95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9E8756">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F1FDD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9298A3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99F250">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50CE90">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DDD3C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58E224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8E6E3E">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D8D07A">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3B3B1C">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5.要求行政机关确认或重新出具已获取信息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7D3AE7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2D42C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4CC10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09832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8A9F86">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81F83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DC12D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43953C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6CD9210">
            <w:pPr>
              <w:jc w:val="center"/>
              <w:rPr>
                <w:rFonts w:hint="eastAsia" w:ascii="仿宋_GB2312" w:hAnsi="仿宋_GB2312" w:eastAsia="仿宋_GB2312" w:cs="仿宋_GB2312"/>
                <w:b/>
                <w:bCs/>
                <w:color w:val="auto"/>
                <w:sz w:val="32"/>
                <w:szCs w:val="32"/>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0FF282">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（六）其他处理</w:t>
            </w: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33F67C2E">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1.申请人无正当理由逾期不补正、行政机关不再处理其政府信息公开申请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B9D5C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EB076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9F8BB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BCB1B6">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DD9C60">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E3489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AD769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30E78C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CDD7E0">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34ADF3">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14EBFE09">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2.申请人逾期未按收费通知要求缴纳费用、行政机关不再处理其政府信息公开申请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04EA3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EF04F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C05E4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239C20">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38721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7C3E9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11134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351E43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D9ED7F">
            <w:pPr>
              <w:jc w:val="center"/>
              <w:rPr>
                <w:rFonts w:hint="eastAsia" w:ascii="仿宋_GB2312" w:hAnsi="仿宋_GB2312" w:eastAsia="仿宋_GB2312" w:cs="仿宋_GB2312"/>
                <w:b/>
                <w:bCs/>
                <w:color w:val="auto"/>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A1C090">
            <w:pPr>
              <w:jc w:val="center"/>
              <w:rPr>
                <w:rFonts w:hint="eastAsia" w:ascii="仿宋_GB2312" w:hAnsi="仿宋_GB2312" w:eastAsia="仿宋_GB2312" w:cs="仿宋_GB2312"/>
                <w:b/>
                <w:bCs/>
                <w:color w:val="auto"/>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3C3E5938">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3.其他</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13433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43192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A971D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D5806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6C5A06">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69282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19AC6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r>
      <w:tr w14:paraId="2F457D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CF3D0A">
            <w:pPr>
              <w:jc w:val="center"/>
              <w:rPr>
                <w:rFonts w:hint="eastAsia" w:ascii="仿宋_GB2312" w:hAnsi="仿宋_GB2312" w:eastAsia="仿宋_GB2312" w:cs="仿宋_GB2312"/>
                <w:b/>
                <w:bCs/>
                <w:color w:val="auto"/>
                <w:sz w:val="32"/>
                <w:szCs w:val="32"/>
              </w:rPr>
            </w:pP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AE7D9D">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（七）总计</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04D1FC">
            <w:pPr>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137F6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FDFC6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D2940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2E5F0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B04A8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760CA0">
            <w:pPr>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p>
        </w:tc>
      </w:tr>
      <w:tr w14:paraId="033F09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641851">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四、结转下年度继续办理</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988B6D">
            <w:pPr>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F4E1B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E29C9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BF953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B552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F8C54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4D563E">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w:t>
            </w:r>
          </w:p>
        </w:tc>
      </w:tr>
    </w:tbl>
    <w:p w14:paraId="301109F6">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8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2"/>
          <w:sz w:val="32"/>
          <w:szCs w:val="32"/>
          <w:lang w:val="en-US" w:eastAsia="zh-CN" w:bidi="ar-SA"/>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532"/>
        <w:gridCol w:w="563"/>
        <w:gridCol w:w="585"/>
        <w:gridCol w:w="563"/>
        <w:gridCol w:w="532"/>
        <w:gridCol w:w="541"/>
        <w:gridCol w:w="574"/>
        <w:gridCol w:w="574"/>
        <w:gridCol w:w="574"/>
        <w:gridCol w:w="585"/>
        <w:gridCol w:w="574"/>
        <w:gridCol w:w="574"/>
        <w:gridCol w:w="574"/>
        <w:gridCol w:w="574"/>
        <w:gridCol w:w="597"/>
      </w:tblGrid>
      <w:tr w14:paraId="5796D3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2674"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E73557">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行政复议</w:t>
            </w:r>
          </w:p>
        </w:tc>
        <w:tc>
          <w:tcPr>
            <w:tcW w:w="5842"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C333E29">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行政诉讼</w:t>
            </w:r>
          </w:p>
        </w:tc>
      </w:tr>
      <w:tr w14:paraId="2210FF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516"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765730A5">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结果</w:t>
            </w:r>
          </w:p>
          <w:p w14:paraId="49EE6E37">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维持</w:t>
            </w:r>
          </w:p>
        </w:tc>
        <w:tc>
          <w:tcPr>
            <w:tcW w:w="570"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14:paraId="580613F2">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结果纠正</w:t>
            </w:r>
          </w:p>
        </w:tc>
        <w:tc>
          <w:tcPr>
            <w:tcW w:w="598"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DFD47C7">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其他结果</w:t>
            </w:r>
          </w:p>
        </w:tc>
        <w:tc>
          <w:tcPr>
            <w:tcW w:w="57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8B114B1">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尚未</w:t>
            </w:r>
          </w:p>
          <w:p w14:paraId="478C586C">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审结</w:t>
            </w:r>
          </w:p>
        </w:tc>
        <w:tc>
          <w:tcPr>
            <w:tcW w:w="42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9C74F28">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总</w:t>
            </w:r>
          </w:p>
          <w:p w14:paraId="2F6A997E">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计</w:t>
            </w:r>
          </w:p>
        </w:tc>
        <w:tc>
          <w:tcPr>
            <w:tcW w:w="2893"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B786B05">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未经复议直接起诉</w:t>
            </w:r>
          </w:p>
        </w:tc>
        <w:tc>
          <w:tcPr>
            <w:tcW w:w="2949"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C55ADC3">
            <w:pPr>
              <w:jc w:val="center"/>
              <w:rPr>
                <w:rFonts w:hint="eastAsia" w:ascii="仿宋_GB2312" w:hAnsi="仿宋_GB2312" w:eastAsia="仿宋_GB2312" w:cs="仿宋_GB2312"/>
                <w:b/>
                <w:bCs/>
                <w:color w:val="auto"/>
                <w:sz w:val="32"/>
                <w:szCs w:val="32"/>
              </w:rPr>
            </w:pPr>
            <w:bookmarkStart w:id="9" w:name="_Hlk67039688"/>
            <w:r>
              <w:rPr>
                <w:rFonts w:hint="eastAsia" w:ascii="仿宋_GB2312" w:hAnsi="仿宋_GB2312" w:eastAsia="仿宋_GB2312" w:cs="仿宋_GB2312"/>
                <w:b/>
                <w:bCs/>
                <w:color w:val="auto"/>
                <w:sz w:val="32"/>
                <w:szCs w:val="32"/>
              </w:rPr>
              <w:t>复议后起诉</w:t>
            </w:r>
            <w:bookmarkEnd w:id="9"/>
          </w:p>
        </w:tc>
      </w:tr>
      <w:tr w14:paraId="25BE6B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516"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36EAFBB1">
            <w:pPr>
              <w:jc w:val="center"/>
              <w:rPr>
                <w:rFonts w:hint="eastAsia" w:ascii="仿宋_GB2312" w:hAnsi="仿宋_GB2312" w:eastAsia="仿宋_GB2312" w:cs="仿宋_GB2312"/>
                <w:b/>
                <w:bCs/>
                <w:color w:val="auto"/>
                <w:sz w:val="32"/>
                <w:szCs w:val="32"/>
              </w:rPr>
            </w:pPr>
          </w:p>
        </w:tc>
        <w:tc>
          <w:tcPr>
            <w:tcW w:w="570"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14:paraId="421AF176">
            <w:pPr>
              <w:jc w:val="center"/>
              <w:rPr>
                <w:rFonts w:hint="eastAsia" w:ascii="仿宋_GB2312" w:hAnsi="仿宋_GB2312" w:eastAsia="仿宋_GB2312" w:cs="仿宋_GB2312"/>
                <w:b/>
                <w:bCs/>
                <w:color w:val="auto"/>
                <w:sz w:val="32"/>
                <w:szCs w:val="32"/>
              </w:rPr>
            </w:pPr>
          </w:p>
        </w:tc>
        <w:tc>
          <w:tcPr>
            <w:tcW w:w="598"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128A8DC">
            <w:pPr>
              <w:jc w:val="center"/>
              <w:rPr>
                <w:rFonts w:hint="eastAsia" w:ascii="仿宋_GB2312" w:hAnsi="仿宋_GB2312" w:eastAsia="仿宋_GB2312" w:cs="仿宋_GB2312"/>
                <w:b/>
                <w:bCs/>
                <w:color w:val="auto"/>
                <w:sz w:val="32"/>
                <w:szCs w:val="32"/>
              </w:rPr>
            </w:pPr>
          </w:p>
        </w:tc>
        <w:tc>
          <w:tcPr>
            <w:tcW w:w="57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1BF8344">
            <w:pPr>
              <w:jc w:val="center"/>
              <w:rPr>
                <w:rFonts w:hint="eastAsia" w:ascii="仿宋_GB2312" w:hAnsi="仿宋_GB2312" w:eastAsia="仿宋_GB2312" w:cs="仿宋_GB2312"/>
                <w:b/>
                <w:bCs/>
                <w:color w:val="auto"/>
                <w:sz w:val="32"/>
                <w:szCs w:val="32"/>
              </w:rPr>
            </w:pPr>
          </w:p>
        </w:tc>
        <w:tc>
          <w:tcPr>
            <w:tcW w:w="42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D27159E">
            <w:pPr>
              <w:jc w:val="center"/>
              <w:rPr>
                <w:rFonts w:hint="eastAsia" w:ascii="仿宋_GB2312" w:hAnsi="仿宋_GB2312" w:eastAsia="仿宋_GB2312" w:cs="仿宋_GB2312"/>
                <w:b/>
                <w:bCs/>
                <w:color w:val="auto"/>
                <w:sz w:val="32"/>
                <w:szCs w:val="32"/>
              </w:rPr>
            </w:pPr>
          </w:p>
        </w:tc>
        <w:tc>
          <w:tcPr>
            <w:tcW w:w="543" w:type="dxa"/>
            <w:tcBorders>
              <w:top w:val="nil"/>
              <w:left w:val="nil"/>
              <w:bottom w:val="single" w:color="auto" w:sz="6" w:space="0"/>
              <w:right w:val="single" w:color="auto" w:sz="6" w:space="0"/>
            </w:tcBorders>
            <w:noWrap w:val="0"/>
            <w:tcMar>
              <w:left w:w="105" w:type="dxa"/>
              <w:bottom w:w="0" w:type="dxa"/>
              <w:right w:w="105" w:type="dxa"/>
            </w:tcMar>
            <w:vAlign w:val="center"/>
          </w:tcPr>
          <w:p w14:paraId="3459E040">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结果维持</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DC05A82">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结果纠正</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FCD5E10">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其他</w:t>
            </w:r>
          </w:p>
          <w:p w14:paraId="0E449BAF">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结果</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12169A0">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尚未</w:t>
            </w:r>
          </w:p>
          <w:p w14:paraId="4F131865">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审结</w:t>
            </w:r>
          </w:p>
        </w:tc>
        <w:tc>
          <w:tcPr>
            <w:tcW w:w="598"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B97C196">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总计</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F7E6BF6">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结果维持</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4C75DF7">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结果</w:t>
            </w:r>
          </w:p>
          <w:p w14:paraId="097AD75D">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纠正</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18A5BEA">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其他</w:t>
            </w:r>
          </w:p>
          <w:p w14:paraId="30CD78A5">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结果</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DB7CE87">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尚未审结</w:t>
            </w:r>
          </w:p>
        </w:tc>
        <w:tc>
          <w:tcPr>
            <w:tcW w:w="613"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D936D6A">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总计</w:t>
            </w:r>
          </w:p>
        </w:tc>
      </w:tr>
      <w:tr w14:paraId="3873EE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516"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16B5DC1E">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w:t>
            </w:r>
          </w:p>
        </w:tc>
        <w:tc>
          <w:tcPr>
            <w:tcW w:w="570" w:type="dxa"/>
            <w:tcBorders>
              <w:top w:val="nil"/>
              <w:left w:val="nil"/>
              <w:bottom w:val="single" w:color="auto" w:sz="6" w:space="0"/>
              <w:right w:val="single" w:color="auto" w:sz="6" w:space="0"/>
            </w:tcBorders>
            <w:noWrap w:val="0"/>
            <w:tcMar>
              <w:left w:w="105" w:type="dxa"/>
              <w:bottom w:w="0" w:type="dxa"/>
              <w:right w:w="105" w:type="dxa"/>
            </w:tcMar>
            <w:vAlign w:val="center"/>
          </w:tcPr>
          <w:p w14:paraId="6E9670CB">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p>
        </w:tc>
        <w:tc>
          <w:tcPr>
            <w:tcW w:w="598" w:type="dxa"/>
            <w:tcBorders>
              <w:top w:val="nil"/>
              <w:left w:val="nil"/>
              <w:bottom w:val="single" w:color="auto" w:sz="6" w:space="0"/>
              <w:right w:val="single" w:color="auto" w:sz="6" w:space="0"/>
            </w:tcBorders>
            <w:noWrap w:val="0"/>
            <w:tcMar>
              <w:left w:w="105" w:type="dxa"/>
              <w:bottom w:w="0" w:type="dxa"/>
              <w:right w:w="105" w:type="dxa"/>
            </w:tcMar>
            <w:vAlign w:val="center"/>
          </w:tcPr>
          <w:p w14:paraId="0FEEBC5B">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w:t>
            </w:r>
          </w:p>
        </w:tc>
        <w:tc>
          <w:tcPr>
            <w:tcW w:w="570" w:type="dxa"/>
            <w:tcBorders>
              <w:top w:val="nil"/>
              <w:left w:val="nil"/>
              <w:bottom w:val="single" w:color="auto" w:sz="6" w:space="0"/>
              <w:right w:val="single" w:color="auto" w:sz="6" w:space="0"/>
            </w:tcBorders>
            <w:noWrap w:val="0"/>
            <w:tcMar>
              <w:left w:w="105" w:type="dxa"/>
              <w:bottom w:w="0" w:type="dxa"/>
              <w:right w:w="105" w:type="dxa"/>
            </w:tcMar>
            <w:vAlign w:val="center"/>
          </w:tcPr>
          <w:p w14:paraId="0C0A82C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420" w:type="dxa"/>
            <w:tcBorders>
              <w:top w:val="nil"/>
              <w:left w:val="nil"/>
              <w:bottom w:val="single" w:color="auto" w:sz="6" w:space="0"/>
              <w:right w:val="single" w:color="auto" w:sz="6" w:space="0"/>
            </w:tcBorders>
            <w:noWrap w:val="0"/>
            <w:tcMar>
              <w:left w:w="105" w:type="dxa"/>
              <w:bottom w:w="0" w:type="dxa"/>
              <w:right w:w="105" w:type="dxa"/>
            </w:tcMar>
            <w:vAlign w:val="center"/>
          </w:tcPr>
          <w:p w14:paraId="4230DCFB">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p>
        </w:tc>
        <w:tc>
          <w:tcPr>
            <w:tcW w:w="543" w:type="dxa"/>
            <w:tcBorders>
              <w:top w:val="nil"/>
              <w:left w:val="nil"/>
              <w:bottom w:val="single" w:color="auto" w:sz="6" w:space="0"/>
              <w:right w:val="single" w:color="auto" w:sz="6" w:space="0"/>
            </w:tcBorders>
            <w:noWrap w:val="0"/>
            <w:tcMar>
              <w:left w:w="105" w:type="dxa"/>
              <w:bottom w:w="0" w:type="dxa"/>
              <w:right w:w="105" w:type="dxa"/>
            </w:tcMar>
            <w:vAlign w:val="center"/>
          </w:tcPr>
          <w:p w14:paraId="59D13F8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06549E3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8ECF90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196C11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98" w:type="dxa"/>
            <w:tcBorders>
              <w:top w:val="nil"/>
              <w:left w:val="nil"/>
              <w:bottom w:val="single" w:color="auto" w:sz="6" w:space="0"/>
              <w:right w:val="single" w:color="auto" w:sz="6" w:space="0"/>
            </w:tcBorders>
            <w:noWrap w:val="0"/>
            <w:tcMar>
              <w:left w:w="105" w:type="dxa"/>
              <w:bottom w:w="0" w:type="dxa"/>
              <w:right w:w="105" w:type="dxa"/>
            </w:tcMar>
            <w:vAlign w:val="center"/>
          </w:tcPr>
          <w:p w14:paraId="6D405E7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135A4F8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3FB8995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DCFFEC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37933E9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w:t>
            </w:r>
          </w:p>
        </w:tc>
        <w:tc>
          <w:tcPr>
            <w:tcW w:w="613" w:type="dxa"/>
            <w:tcBorders>
              <w:top w:val="nil"/>
              <w:left w:val="nil"/>
              <w:bottom w:val="single" w:color="auto" w:sz="6" w:space="0"/>
              <w:right w:val="single" w:color="auto" w:sz="6" w:space="0"/>
            </w:tcBorders>
            <w:noWrap w:val="0"/>
            <w:tcMar>
              <w:left w:w="105" w:type="dxa"/>
              <w:bottom w:w="0" w:type="dxa"/>
              <w:right w:w="105" w:type="dxa"/>
            </w:tcMar>
            <w:vAlign w:val="center"/>
          </w:tcPr>
          <w:p w14:paraId="22237592">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w:t>
            </w:r>
          </w:p>
        </w:tc>
      </w:tr>
    </w:tbl>
    <w:p w14:paraId="20296192">
      <w:pPr>
        <w:keepNext w:val="0"/>
        <w:keepLines w:val="0"/>
        <w:pageBreakBefore w:val="0"/>
        <w:widowControl/>
        <w:suppressLineNumbers w:val="0"/>
        <w:kinsoku/>
        <w:overflowPunct/>
        <w:topLinePunct w:val="0"/>
        <w:autoSpaceDE/>
        <w:autoSpaceDN/>
        <w:bidi w:val="0"/>
        <w:adjustRightInd/>
        <w:snapToGrid/>
        <w:spacing w:afterAutospacing="0" w:line="58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2"/>
          <w:sz w:val="32"/>
          <w:szCs w:val="32"/>
          <w:lang w:val="en-US" w:eastAsia="zh-CN" w:bidi="ar-SA"/>
        </w:rPr>
        <w:t>五、政府信息公开工作存在的主要问题及改进情况</w:t>
      </w:r>
    </w:p>
    <w:p w14:paraId="1F123D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auto"/>
          <w:spacing w:val="0"/>
          <w:kern w:val="2"/>
          <w:sz w:val="32"/>
          <w:szCs w:val="32"/>
          <w:shd w:val="clear" w:fill="FFFFFF"/>
          <w:lang w:val="en-US" w:eastAsia="zh-CN" w:bidi="ar-SA"/>
        </w:rPr>
        <w:t>（一）主要问题</w:t>
      </w:r>
    </w:p>
    <w:p w14:paraId="6C0D71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t>一是公开的栏目内容不够丰富、形式较为单一。</w:t>
      </w:r>
    </w:p>
    <w:p w14:paraId="0A5D63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2"/>
          <w:sz w:val="32"/>
          <w:szCs w:val="32"/>
          <w:highlight w:val="none"/>
          <w:shd w:val="clear" w:fill="FFFFFF"/>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t>二是工作存在不严谨的问题，比如在部分稿件中存在错别字和更新不及时现象。</w:t>
      </w:r>
    </w:p>
    <w:p w14:paraId="1B7ACA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auto"/>
          <w:spacing w:val="0"/>
          <w:kern w:val="2"/>
          <w:sz w:val="32"/>
          <w:szCs w:val="32"/>
          <w:shd w:val="clear" w:fill="FFFFFF"/>
          <w:lang w:val="en-US" w:eastAsia="zh-CN" w:bidi="ar-SA"/>
        </w:rPr>
        <w:t>（二）改进情况</w:t>
      </w:r>
    </w:p>
    <w:p w14:paraId="20ECC8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fill="FFFFFF"/>
          <w:lang w:val="en-US" w:eastAsia="zh-CN" w:bidi="ar-SA"/>
        </w:rPr>
        <w:t>　</w:t>
      </w:r>
      <w:r>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t>一是加强公开平台建设，不断优化完善政府网站和政务新媒体便民服务功能，充分发挥政府信息公开服务群众的作用。</w:t>
      </w:r>
    </w:p>
    <w:p w14:paraId="346083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2"/>
          <w:sz w:val="32"/>
          <w:szCs w:val="32"/>
          <w:highlight w:val="none"/>
          <w:shd w:val="clear" w:fill="FFFFFF"/>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t>二是加大监督检查力度,规范政务公开工作。对政务公开工作的开展情况实行目标考核,保障信息更新及时,内容规范。</w:t>
      </w:r>
    </w:p>
    <w:p w14:paraId="34956A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黑体" w:hAnsi="黑体" w:eastAsia="黑体" w:cs="黑体"/>
          <w:color w:val="auto"/>
          <w:sz w:val="32"/>
          <w:szCs w:val="32"/>
        </w:rPr>
        <w:t>六、其他需要报告的事项</w:t>
      </w:r>
    </w:p>
    <w:p w14:paraId="69E25C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2"/>
          <w:sz w:val="32"/>
          <w:szCs w:val="32"/>
          <w:highlight w:val="none"/>
          <w:shd w:val="clear" w:fill="FFFFFF"/>
          <w:lang w:val="en-US" w:eastAsia="zh-CN" w:bidi="ar-SA"/>
        </w:rPr>
      </w:pP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1.本年度政府信息公开申请未达到《政府信息公开信息处理费管理办法》（国办函〔2020〕109号）所规定的信息</w:t>
      </w:r>
      <w:r>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t>处理费收费标准，故未收取信息处理费。</w:t>
      </w:r>
    </w:p>
    <w:p w14:paraId="0F1E63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t>2.落实年度政务公开重点工作情况。</w:t>
      </w:r>
      <w:r>
        <w:rPr>
          <w:rFonts w:hint="eastAsia" w:ascii="仿宋_GB2312" w:hAnsi="仿宋_GB2312" w:eastAsia="仿宋_GB2312" w:cs="仿宋_GB2312"/>
          <w:i w:val="0"/>
          <w:iCs w:val="0"/>
          <w:caps w:val="0"/>
          <w:color w:val="auto"/>
          <w:spacing w:val="0"/>
          <w:kern w:val="2"/>
          <w:sz w:val="32"/>
          <w:szCs w:val="32"/>
          <w:highlight w:val="none"/>
          <w:shd w:val="clear" w:fill="FFFFFF"/>
          <w:lang w:val="en-US" w:eastAsia="zh-CN" w:bidi="ar-SA"/>
        </w:rPr>
        <w:t>街道始终坚持</w:t>
      </w:r>
      <w:r>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t>以公开为常态、不公开为例外”和“公正、公平、合法、便民”的原则，全面提高政务公开质量，加强政策解读和政务舆情回应，深入推进重点领域信息公开，完善政务公开制度，以公开稳预期、强监督、促落实、优服务，公开实效进一步提升，全市政务公开总体水平迈向新台阶。</w:t>
      </w:r>
    </w:p>
    <w:p w14:paraId="6DEC89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auto"/>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t>3.本年</w:t>
      </w: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度建议提案办理情况。2025年全年接到市人大常委会交办的人大代表建议办理工作0件，收到市政协会议提案</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0</w:t>
      </w: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件，已在规定时限内答复完毕，办复率100%。</w:t>
      </w:r>
    </w:p>
    <w:p w14:paraId="1BE717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fill="FFFFFF"/>
          <w:lang w:val="en-US" w:eastAsia="zh-CN" w:bidi="ar-SA"/>
        </w:rPr>
        <w:t>4</w:t>
      </w:r>
      <w:r>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t>.本行政机关政府信息公开工作年度报告数据统计需要说明的事项。本报告中所列数据的统计时限为202</w:t>
      </w:r>
      <w:r>
        <w:rPr>
          <w:rFonts w:hint="eastAsia" w:ascii="仿宋_GB2312" w:hAnsi="仿宋_GB2312" w:eastAsia="仿宋_GB2312" w:cs="仿宋_GB2312"/>
          <w:i w:val="0"/>
          <w:iCs w:val="0"/>
          <w:caps w:val="0"/>
          <w:color w:val="auto"/>
          <w:spacing w:val="0"/>
          <w:kern w:val="2"/>
          <w:sz w:val="32"/>
          <w:szCs w:val="32"/>
          <w:highlight w:val="none"/>
          <w:shd w:val="clear" w:fill="FFFFFF"/>
          <w:lang w:val="en-US" w:eastAsia="zh-CN" w:bidi="ar-SA"/>
        </w:rPr>
        <w:t>5</w:t>
      </w:r>
      <w:r>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t>年1月1日至202</w:t>
      </w:r>
      <w:r>
        <w:rPr>
          <w:rFonts w:hint="eastAsia" w:ascii="仿宋_GB2312" w:hAnsi="仿宋_GB2312" w:eastAsia="仿宋_GB2312" w:cs="仿宋_GB2312"/>
          <w:i w:val="0"/>
          <w:iCs w:val="0"/>
          <w:caps w:val="0"/>
          <w:color w:val="auto"/>
          <w:spacing w:val="0"/>
          <w:kern w:val="2"/>
          <w:sz w:val="32"/>
          <w:szCs w:val="32"/>
          <w:highlight w:val="none"/>
          <w:shd w:val="clear" w:fill="FFFFFF"/>
          <w:lang w:val="en-US" w:eastAsia="zh-CN" w:bidi="ar-SA"/>
        </w:rPr>
        <w:t>5</w:t>
      </w:r>
      <w:r>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t>年12月31日。</w:t>
      </w:r>
    </w:p>
    <w:p w14:paraId="040CD4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fill="FFFFFF"/>
          <w:lang w:val="en-US" w:eastAsia="zh-CN" w:bidi="ar-SA"/>
        </w:rPr>
        <w:t>5</w:t>
      </w:r>
      <w:r>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t>.本行政机关认为需要报告的其他事项。无。</w:t>
      </w:r>
    </w:p>
    <w:p w14:paraId="5B7FCC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i w:val="0"/>
          <w:iCs w:val="0"/>
          <w:caps w:val="0"/>
          <w:color w:val="auto"/>
          <w:spacing w:val="0"/>
          <w:kern w:val="2"/>
          <w:sz w:val="32"/>
          <w:szCs w:val="32"/>
          <w:highlight w:val="none"/>
          <w:shd w:val="clear" w:fill="FFFFFF"/>
          <w:lang w:val="en-US" w:eastAsia="zh-CN" w:bidi="ar-SA"/>
        </w:rPr>
        <w:t>6</w:t>
      </w:r>
      <w:r>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t>.其他有关文件专门要求通过政府信息公开工作年度报告予以报告的事项。无。</w:t>
      </w:r>
    </w:p>
    <w:p w14:paraId="7F0353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如对年度政府信息公开工作年度报告有疑问，请与枣庄高新区兴仁街道联系（联系电话:0632-8690866，电子邮箱:xingrenjiedao@126.com ）。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0835BF-5F47-42E2-8498-F0D24B0E93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56366252-F618-4589-8B05-5A4F5947A870}"/>
  </w:font>
  <w:font w:name="仿宋_GB2312">
    <w:panose1 w:val="02010609030101010101"/>
    <w:charset w:val="86"/>
    <w:family w:val="auto"/>
    <w:pitch w:val="default"/>
    <w:sig w:usb0="00000001" w:usb1="080E0000" w:usb2="00000000" w:usb3="00000000" w:csb0="00040000" w:csb1="00000000"/>
    <w:embedRegular r:id="rId3" w:fontKey="{7A1CF186-3D26-4FB2-B87C-2BA2F8EF1B12}"/>
  </w:font>
  <w:font w:name="楷体_GB2312">
    <w:panose1 w:val="02010609030101010101"/>
    <w:charset w:val="86"/>
    <w:family w:val="auto"/>
    <w:pitch w:val="default"/>
    <w:sig w:usb0="00000001" w:usb1="080E0000" w:usb2="00000000" w:usb3="00000000" w:csb0="00040000" w:csb1="00000000"/>
    <w:embedRegular r:id="rId4" w:fontKey="{38676ECC-90D5-4965-845C-84EC5CAF1B5D}"/>
  </w:font>
  <w:font w:name="WPSEMBED1">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YTMxOGM4ZmZlZGNhOWYyMTgxZDZkMzVkY2ZiNjMifQ=="/>
  </w:docVars>
  <w:rsids>
    <w:rsidRoot w:val="00000000"/>
    <w:rsid w:val="0005253B"/>
    <w:rsid w:val="048E0B48"/>
    <w:rsid w:val="06967786"/>
    <w:rsid w:val="0B8B34D2"/>
    <w:rsid w:val="0C71398B"/>
    <w:rsid w:val="0CE90963"/>
    <w:rsid w:val="15301A2B"/>
    <w:rsid w:val="16A5701F"/>
    <w:rsid w:val="17FC69B2"/>
    <w:rsid w:val="18883F55"/>
    <w:rsid w:val="1B680943"/>
    <w:rsid w:val="1EB01AB5"/>
    <w:rsid w:val="28FB28A1"/>
    <w:rsid w:val="2AD84133"/>
    <w:rsid w:val="2B6F5C53"/>
    <w:rsid w:val="316553D7"/>
    <w:rsid w:val="316B1911"/>
    <w:rsid w:val="3B7235DF"/>
    <w:rsid w:val="3C3F2287"/>
    <w:rsid w:val="3D4B60F4"/>
    <w:rsid w:val="3F5F0ADC"/>
    <w:rsid w:val="411D15E8"/>
    <w:rsid w:val="43964EE8"/>
    <w:rsid w:val="45F823AD"/>
    <w:rsid w:val="47602729"/>
    <w:rsid w:val="4AE4759D"/>
    <w:rsid w:val="4EDA72D1"/>
    <w:rsid w:val="509D6459"/>
    <w:rsid w:val="57B950FD"/>
    <w:rsid w:val="57EC6773"/>
    <w:rsid w:val="5FF75CFA"/>
    <w:rsid w:val="639A0067"/>
    <w:rsid w:val="67935B91"/>
    <w:rsid w:val="6C443B08"/>
    <w:rsid w:val="70B126D0"/>
    <w:rsid w:val="7EF11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2129</Words>
  <Characters>2240</Characters>
  <Lines>0</Lines>
  <Paragraphs>0</Paragraphs>
  <TotalTime>6</TotalTime>
  <ScaleCrop>false</ScaleCrop>
  <LinksUpToDate>false</LinksUpToDate>
  <CharactersWithSpaces>2241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2024-01-19T06:43:00Z</dcterms:created>
  <dc:creator>Admin</dc:creator>
  <cp:lastModifiedBy>WPS_1740640130</cp:lastModifiedBy>
  <dcterms:modified xsi:type="dcterms:W3CDTF">2026-01-16T08:16:27Z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C144A1D711BB47999951A8D8D70F27D2_13</vt:lpwstr>
  </property>
  <property fmtid="{D5CDD505-2E9C-101B-9397-08002B2CF9AE}" pid="4" name="KSOTemplateDocerSaveRecord">
    <vt:lpwstr>eyJoZGlkIjoiZjQwODgzNmJhNTllZThiZWFiMjJhOWM4ZjkwZDI4MjciLCJ1c2VySWQiOiIxNjgyMDY4MjkzIn0=</vt:lpwstr>
  </property>
</Properties>
</file>