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9D460">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520" w:lineRule="exact"/>
        <w:jc w:val="center"/>
        <w:textAlignment w:val="auto"/>
        <w:rPr>
          <w:rFonts w:hint="eastAsia" w:ascii="方正小标宋简体" w:hAnsi="方正小标宋简体" w:eastAsia="方正小标宋简体" w:cs="方正小标宋简体"/>
          <w:i w:val="0"/>
          <w:iCs w:val="0"/>
          <w:caps w:val="0"/>
          <w:color w:val="0F1115"/>
          <w:spacing w:val="0"/>
          <w:sz w:val="44"/>
          <w:szCs w:val="44"/>
        </w:rPr>
      </w:pPr>
      <w:r>
        <w:rPr>
          <w:rFonts w:hint="eastAsia" w:ascii="方正小标宋简体" w:hAnsi="方正小标宋简体" w:eastAsia="方正小标宋简体" w:cs="方正小标宋简体"/>
          <w:i w:val="0"/>
          <w:iCs w:val="0"/>
          <w:caps w:val="0"/>
          <w:color w:val="0F1115"/>
          <w:spacing w:val="0"/>
          <w:sz w:val="44"/>
          <w:szCs w:val="44"/>
        </w:rPr>
        <w:t>枣庄高新区应急管理局</w:t>
      </w:r>
    </w:p>
    <w:p w14:paraId="744567AC">
      <w:pPr>
        <w:pStyle w:val="2"/>
        <w:keepNext w:val="0"/>
        <w:keepLines w:val="0"/>
        <w:pageBreakBefore w:val="0"/>
        <w:widowControl/>
        <w:suppressLineNumbers w:val="0"/>
        <w:kinsoku/>
        <w:wordWrap/>
        <w:overflowPunct/>
        <w:topLinePunct w:val="0"/>
        <w:autoSpaceDE/>
        <w:autoSpaceDN/>
        <w:bidi w:val="0"/>
        <w:adjustRightInd/>
        <w:snapToGrid/>
        <w:spacing w:before="0" w:beforeAutospacing="0"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2025年政府信息公开工作年度报告</w:t>
      </w:r>
    </w:p>
    <w:p w14:paraId="09E6D0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default"/>
          <w:sz w:val="28"/>
          <w:szCs w:val="28"/>
        </w:rPr>
        <w:t>本报告根据《中华人民共和国政府信息公开条例》《中华人民共和国政府信息公开工作年度报告格式》的通知（国办公开办函〔2021〕30号）和省、市有关工作要求，现结合枣庄高新区应急管理局2025年政府信息公开工作实际情况编写工作年度报告。本报告所列数据的统计时限自2025年1月1日至2025年12月31日。本报告全文将在枣庄高新区官网（http://www.zzctp.gov.cn/）“政府信息公开年度报告”专栏公布。如对本报告有疑问，请与枣庄高新区应急管理局综合管理科联系（联系电话:0632-8696861，电子邮箱:sdzzgxq@126.com）。报告中所列数据统计期限从2025年1月1日到12月31日止。</w:t>
      </w:r>
    </w:p>
    <w:p w14:paraId="234FED8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b/>
          <w:bCs/>
          <w:sz w:val="28"/>
          <w:szCs w:val="28"/>
        </w:rPr>
      </w:pPr>
      <w:r>
        <w:rPr>
          <w:rFonts w:hint="default"/>
          <w:b/>
          <w:bCs/>
          <w:sz w:val="28"/>
          <w:szCs w:val="28"/>
        </w:rPr>
        <w:t>一、总体情况</w:t>
      </w:r>
    </w:p>
    <w:p w14:paraId="234CB4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default"/>
          <w:sz w:val="28"/>
          <w:szCs w:val="28"/>
        </w:rPr>
        <w:t>2025年，枣庄高新区应急管理局严格落实国家、省、市关于全面推进政务公开工作的系列决策部署，紧紧围绕安全生产、防灾减灾救灾和应急救援等中心工作，全面推进决策、执行、管理、服务、结果公开，不断拓展公开广度与深度，切实保障人民群众的知情权、参与权、表达权和监督权，为促进应急管理体系和能力现代化营造了良好环境。</w:t>
      </w:r>
    </w:p>
    <w:p w14:paraId="36D28F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sz w:val="28"/>
          <w:szCs w:val="28"/>
        </w:rPr>
      </w:pPr>
      <w:r>
        <w:rPr>
          <w:rFonts w:hint="default"/>
          <w:sz w:val="28"/>
          <w:szCs w:val="28"/>
        </w:rPr>
        <w:t>主动公开情况：围绕法定主动公开内容，重点公开了安全生产专项整治、重大事故隐患排查治理、灾害监测预警、应急处置预案、财政预算决算及行政执法信息等相关内容，2025 年主动公开各类政务信息101条 。</w:t>
      </w:r>
    </w:p>
    <w:p w14:paraId="7B877DB1">
      <w:pPr>
        <w:keepNext w:val="0"/>
        <w:keepLines w:val="0"/>
        <w:pageBreakBefore w:val="0"/>
        <w:widowControl w:val="0"/>
        <w:kinsoku/>
        <w:wordWrap/>
        <w:overflowPunct/>
        <w:topLinePunct w:val="0"/>
        <w:autoSpaceDE/>
        <w:autoSpaceDN/>
        <w:bidi w:val="0"/>
        <w:adjustRightInd/>
        <w:snapToGrid/>
        <w:spacing w:line="560" w:lineRule="exact"/>
        <w:textAlignment w:val="auto"/>
        <w:rPr>
          <w:sz w:val="28"/>
          <w:szCs w:val="28"/>
        </w:rPr>
      </w:pPr>
      <w:r>
        <w:rPr>
          <w:rFonts w:hint="default"/>
          <w:sz w:val="28"/>
          <w:szCs w:val="28"/>
        </w:rPr>
        <w:drawing>
          <wp:anchor distT="0" distB="0" distL="114300" distR="114300" simplePos="0" relativeHeight="251659264" behindDoc="0" locked="0" layoutInCell="1" allowOverlap="1">
            <wp:simplePos x="0" y="0"/>
            <wp:positionH relativeFrom="column">
              <wp:posOffset>69850</wp:posOffset>
            </wp:positionH>
            <wp:positionV relativeFrom="paragraph">
              <wp:posOffset>-7623175</wp:posOffset>
            </wp:positionV>
            <wp:extent cx="5104765" cy="3391535"/>
            <wp:effectExtent l="0" t="0" r="635" b="18415"/>
            <wp:wrapSquare wrapText="bothSides"/>
            <wp:docPr id="1" name="图片 1" descr="8e2fd07c-cb9c-407f-9d5c-479f62fe04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2fd07c-cb9c-407f-9d5c-479f62fe0467.png"/>
                    <pic:cNvPicPr>
                      <a:picLocks noChangeAspect="1"/>
                    </pic:cNvPicPr>
                  </pic:nvPicPr>
                  <pic:blipFill>
                    <a:blip r:embed="rId4"/>
                    <a:stretch>
                      <a:fillRect/>
                    </a:stretch>
                  </pic:blipFill>
                  <pic:spPr>
                    <a:xfrm>
                      <a:off x="0" y="0"/>
                      <a:ext cx="5104765" cy="3391535"/>
                    </a:xfrm>
                    <a:prstGeom prst="rect">
                      <a:avLst/>
                    </a:prstGeom>
                    <a:noFill/>
                    <a:ln w="9525">
                      <a:noFill/>
                    </a:ln>
                  </pic:spPr>
                </pic:pic>
              </a:graphicData>
            </a:graphic>
          </wp:anchor>
        </w:drawing>
      </w:r>
    </w:p>
    <w:p w14:paraId="445EF9A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default"/>
          <w:sz w:val="28"/>
          <w:szCs w:val="28"/>
        </w:rPr>
        <w:t>（二）依申请公开情况：2025年，区应急管理局严格按照《中华人民共和国政府信息公开条例》，依法依规做好依申请公开接收、登记、办理、调查、答复等各个环节工作，2025年，我局共收到政府信息公开申请0件，较2024年对比无新增，未发生依申请公开行政复议、行政诉讼情况。</w:t>
      </w:r>
    </w:p>
    <w:p w14:paraId="0251242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default"/>
          <w:sz w:val="28"/>
          <w:szCs w:val="28"/>
        </w:rPr>
        <w:t>收费和减免情况：根据财政部、国家发展改革委联合印发的《关于清理规范一批行政事业性收费有关政策的通知》规定，本年度依申请公开政府信息未收取任何费用，包括：检索费、复制费（含案卷材料复制费）、邮寄费。</w:t>
      </w:r>
    </w:p>
    <w:p w14:paraId="4DB9E0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default"/>
          <w:sz w:val="28"/>
          <w:szCs w:val="28"/>
        </w:rPr>
        <w:t>（三）政府信息管理情况：及时发布应急管理局工作重大事项动态信息，完善相关审查机制。2025年全年公开信息未出现违规情况。</w:t>
      </w:r>
    </w:p>
    <w:p w14:paraId="7DFFFE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default"/>
          <w:sz w:val="28"/>
          <w:szCs w:val="28"/>
        </w:rPr>
        <w:t>（四）政府信息公开平台建设情况：依托管委会官网，优化信息公开平台栏目设置，方便社会群众准确获取有关信息。</w:t>
      </w:r>
    </w:p>
    <w:p w14:paraId="7093A1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sz w:val="28"/>
          <w:szCs w:val="28"/>
        </w:rPr>
      </w:pPr>
      <w:r>
        <w:rPr>
          <w:rFonts w:hint="default"/>
          <w:sz w:val="28"/>
          <w:szCs w:val="28"/>
        </w:rPr>
        <w:t>（五）监督保障情况：1.强化组织领导。及时调整政务公开工作领导小组，明确主要领导亲自抓、分管领导具体抓、办公室牵头落实、各科室协同配合的工作机制，定期召开会议研究解决政务公开工作中存在的问题。2. 常态化自查与监测。局办公室定期组织各科室对本单位门户网站的内容更新、准确性、规范性进行自查和监测，及时发现并整改问题，严格执行信息发布“三审三校”制度，确保公开信息的准确性、权威性和安全性。3. 加强业务培训。将政务公开培训列入年度培训计划，定期组织开展政务公开业务培训，有效提升了干部职工的公开意识和业务能力。</w:t>
      </w:r>
    </w:p>
    <w:p w14:paraId="4291442F">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rPr>
      </w:pPr>
      <w:r>
        <w:rPr>
          <w:rFonts w:hint="default"/>
          <w:b/>
          <w:bCs/>
          <w:sz w:val="28"/>
          <w:szCs w:val="28"/>
        </w:rPr>
        <w:t>二、主动公开政府信息情况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2099"/>
        <w:gridCol w:w="2100"/>
        <w:gridCol w:w="2100"/>
        <w:gridCol w:w="2157"/>
      </w:tblGrid>
      <w:tr w14:paraId="2DAB30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8820" w:type="dxa"/>
            <w:gridSpan w:val="4"/>
            <w:tcBorders>
              <w:top w:val="outset" w:color="auto"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2A200E11">
            <w:r>
              <w:rPr>
                <w:rFonts w:hint="default"/>
              </w:rPr>
              <w:t>第二十条第（一）项</w:t>
            </w:r>
          </w:p>
        </w:tc>
      </w:tr>
      <w:tr w14:paraId="0A1009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6FC96EA9">
            <w:r>
              <w:rPr>
                <w:rFonts w:hint="default"/>
              </w:rPr>
              <w:t>信息内容</w:t>
            </w:r>
          </w:p>
        </w:tc>
        <w:tc>
          <w:tcPr>
            <w:tcW w:w="2190" w:type="dxa"/>
            <w:tcBorders>
              <w:top w:val="single" w:color="4874CB" w:sz="6" w:space="0"/>
              <w:left w:val="single" w:color="4874CB" w:sz="6" w:space="0"/>
              <w:bottom w:val="single" w:color="4874CB" w:sz="6" w:space="0"/>
              <w:right w:val="single" w:color="4874CB" w:sz="6" w:space="0"/>
            </w:tcBorders>
            <w:shd w:val="clear" w:color="auto" w:fill="DBE3F4"/>
            <w:tcMar>
              <w:left w:w="75" w:type="dxa"/>
              <w:right w:w="75" w:type="dxa"/>
            </w:tcMar>
            <w:vAlign w:val="top"/>
          </w:tcPr>
          <w:p w14:paraId="6138B979">
            <w:r>
              <w:rPr>
                <w:rFonts w:hint="default"/>
              </w:rPr>
              <w:t>本年制发件数</w:t>
            </w:r>
          </w:p>
        </w:tc>
        <w:tc>
          <w:tcPr>
            <w:tcW w:w="2190" w:type="dxa"/>
            <w:tcBorders>
              <w:top w:val="single" w:color="4874CB" w:sz="6" w:space="0"/>
              <w:left w:val="single" w:color="4874CB" w:sz="6" w:space="0"/>
              <w:bottom w:val="single" w:color="4874CB" w:sz="6" w:space="0"/>
              <w:right w:val="single" w:color="4874CB" w:sz="6" w:space="0"/>
            </w:tcBorders>
            <w:shd w:val="clear" w:color="auto" w:fill="FFFFFF"/>
            <w:tcMar>
              <w:left w:w="75" w:type="dxa"/>
              <w:right w:w="75" w:type="dxa"/>
            </w:tcMar>
            <w:vAlign w:val="top"/>
          </w:tcPr>
          <w:p w14:paraId="49DEB165">
            <w:r>
              <w:rPr>
                <w:rFonts w:hint="default"/>
              </w:rPr>
              <w:t>本年废止件数</w:t>
            </w:r>
          </w:p>
        </w:tc>
        <w:tc>
          <w:tcPr>
            <w:tcW w:w="2190" w:type="dxa"/>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452A15C6">
            <w:r>
              <w:rPr>
                <w:rFonts w:hint="default"/>
              </w:rPr>
              <w:t>现行有效件数</w:t>
            </w:r>
          </w:p>
        </w:tc>
      </w:tr>
      <w:tr w14:paraId="08F3FC2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22FDC5D3">
            <w:r>
              <w:rPr>
                <w:rFonts w:hint="default"/>
              </w:rPr>
              <w:t>规章</w:t>
            </w:r>
          </w:p>
        </w:tc>
        <w:tc>
          <w:tcPr>
            <w:tcW w:w="2190" w:type="dxa"/>
            <w:tcBorders>
              <w:top w:val="single" w:color="4874CB" w:sz="6" w:space="0"/>
              <w:left w:val="single" w:color="4874CB" w:sz="6" w:space="0"/>
              <w:bottom w:val="single" w:color="4874CB" w:sz="6" w:space="0"/>
              <w:right w:val="single" w:color="4874CB" w:sz="6" w:space="0"/>
            </w:tcBorders>
            <w:shd w:val="clear" w:color="auto" w:fill="DBE3F4"/>
            <w:tcMar>
              <w:left w:w="75" w:type="dxa"/>
              <w:right w:w="75" w:type="dxa"/>
            </w:tcMar>
            <w:vAlign w:val="center"/>
          </w:tcPr>
          <w:p w14:paraId="7EF3E372">
            <w:r>
              <w:rPr>
                <w:rFonts w:hint="default"/>
              </w:rPr>
              <w:t>0</w:t>
            </w:r>
          </w:p>
        </w:tc>
        <w:tc>
          <w:tcPr>
            <w:tcW w:w="2190" w:type="dxa"/>
            <w:tcBorders>
              <w:top w:val="single" w:color="4874CB" w:sz="6" w:space="0"/>
              <w:left w:val="single" w:color="4874CB" w:sz="6" w:space="0"/>
              <w:bottom w:val="single" w:color="4874CB" w:sz="6" w:space="0"/>
              <w:right w:val="single" w:color="4874CB" w:sz="6" w:space="0"/>
            </w:tcBorders>
            <w:shd w:val="clear" w:color="auto" w:fill="FFFFFF"/>
            <w:tcMar>
              <w:left w:w="75" w:type="dxa"/>
              <w:right w:w="75" w:type="dxa"/>
            </w:tcMar>
            <w:vAlign w:val="center"/>
          </w:tcPr>
          <w:p w14:paraId="29FF34C3">
            <w:r>
              <w:rPr>
                <w:rFonts w:hint="default"/>
              </w:rPr>
              <w:t>0</w:t>
            </w:r>
          </w:p>
        </w:tc>
        <w:tc>
          <w:tcPr>
            <w:tcW w:w="2190" w:type="dxa"/>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center"/>
          </w:tcPr>
          <w:p w14:paraId="72184E5E">
            <w:r>
              <w:rPr>
                <w:rFonts w:hint="default"/>
              </w:rPr>
              <w:t>0</w:t>
            </w:r>
          </w:p>
        </w:tc>
      </w:tr>
      <w:tr w14:paraId="754DE7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30"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69B2777B">
            <w:r>
              <w:rPr>
                <w:rFonts w:hint="default"/>
              </w:rPr>
              <w:t>行政规范性文件</w:t>
            </w:r>
          </w:p>
        </w:tc>
        <w:tc>
          <w:tcPr>
            <w:tcW w:w="2190" w:type="dxa"/>
            <w:tcBorders>
              <w:top w:val="single" w:color="4874CB" w:sz="6" w:space="0"/>
              <w:left w:val="single" w:color="4874CB" w:sz="6" w:space="0"/>
              <w:bottom w:val="single" w:color="4874CB" w:sz="6" w:space="0"/>
              <w:right w:val="single" w:color="4874CB" w:sz="6" w:space="0"/>
            </w:tcBorders>
            <w:shd w:val="clear" w:color="auto" w:fill="DBE3F4"/>
            <w:tcMar>
              <w:left w:w="75" w:type="dxa"/>
              <w:right w:w="75" w:type="dxa"/>
            </w:tcMar>
            <w:vAlign w:val="center"/>
          </w:tcPr>
          <w:p w14:paraId="0A018FA9">
            <w:r>
              <w:rPr>
                <w:rFonts w:hint="default"/>
              </w:rPr>
              <w:t>0</w:t>
            </w:r>
          </w:p>
        </w:tc>
        <w:tc>
          <w:tcPr>
            <w:tcW w:w="2190" w:type="dxa"/>
            <w:tcBorders>
              <w:top w:val="single" w:color="4874CB" w:sz="6" w:space="0"/>
              <w:left w:val="single" w:color="4874CB" w:sz="6" w:space="0"/>
              <w:bottom w:val="single" w:color="4874CB" w:sz="6" w:space="0"/>
              <w:right w:val="single" w:color="4874CB" w:sz="6" w:space="0"/>
            </w:tcBorders>
            <w:shd w:val="clear" w:color="auto" w:fill="FFFFFF"/>
            <w:tcMar>
              <w:left w:w="75" w:type="dxa"/>
              <w:right w:w="75" w:type="dxa"/>
            </w:tcMar>
            <w:vAlign w:val="center"/>
          </w:tcPr>
          <w:p w14:paraId="6143893B">
            <w:r>
              <w:rPr>
                <w:rFonts w:hint="default"/>
              </w:rPr>
              <w:t>0</w:t>
            </w:r>
          </w:p>
        </w:tc>
        <w:tc>
          <w:tcPr>
            <w:tcW w:w="2190" w:type="dxa"/>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center"/>
          </w:tcPr>
          <w:p w14:paraId="7D49F401">
            <w:r>
              <w:rPr>
                <w:rFonts w:hint="default"/>
              </w:rPr>
              <w:t>0</w:t>
            </w:r>
          </w:p>
        </w:tc>
      </w:tr>
      <w:tr w14:paraId="0F7523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8820" w:type="dxa"/>
            <w:gridSpan w:val="4"/>
            <w:tcBorders>
              <w:top w:val="single" w:color="4874CB"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62CC7FFC">
            <w:r>
              <w:rPr>
                <w:rFonts w:hint="default"/>
              </w:rPr>
              <w:t>第二十条第（五）项</w:t>
            </w:r>
          </w:p>
        </w:tc>
      </w:tr>
      <w:tr w14:paraId="132A66F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08E02551">
            <w:r>
              <w:rPr>
                <w:rFonts w:hint="default"/>
              </w:rPr>
              <w:t>信息内容</w:t>
            </w:r>
          </w:p>
        </w:tc>
        <w:tc>
          <w:tcPr>
            <w:tcW w:w="6600"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13F05565">
            <w:r>
              <w:rPr>
                <w:rFonts w:hint="default"/>
              </w:rPr>
              <w:t>本年处理决定数量</w:t>
            </w:r>
          </w:p>
        </w:tc>
      </w:tr>
      <w:tr w14:paraId="622EEEC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59BA07F3">
            <w:r>
              <w:rPr>
                <w:rFonts w:hint="default"/>
              </w:rPr>
              <w:t>行政许可</w:t>
            </w:r>
          </w:p>
        </w:tc>
        <w:tc>
          <w:tcPr>
            <w:tcW w:w="6600"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6D6BD596">
            <w:r>
              <w:rPr>
                <w:rFonts w:hint="default"/>
              </w:rPr>
              <w:t>12</w:t>
            </w:r>
          </w:p>
        </w:tc>
      </w:tr>
      <w:tr w14:paraId="3EB436C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8820" w:type="dxa"/>
            <w:gridSpan w:val="4"/>
            <w:tcBorders>
              <w:top w:val="single" w:color="4874CB"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015AF0DA">
            <w:r>
              <w:rPr>
                <w:rFonts w:hint="default"/>
              </w:rPr>
              <w:t>第二十条第（六）项</w:t>
            </w:r>
          </w:p>
        </w:tc>
      </w:tr>
      <w:tr w14:paraId="2F77B4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1241C001">
            <w:r>
              <w:rPr>
                <w:rFonts w:hint="default"/>
              </w:rPr>
              <w:t>信息内容</w:t>
            </w:r>
          </w:p>
        </w:tc>
        <w:tc>
          <w:tcPr>
            <w:tcW w:w="6600"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4C2E31A4">
            <w:r>
              <w:rPr>
                <w:rFonts w:hint="default"/>
              </w:rPr>
              <w:t>本年处理决定数量</w:t>
            </w:r>
          </w:p>
        </w:tc>
      </w:tr>
      <w:tr w14:paraId="491EC5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269CA9DA">
            <w:r>
              <w:rPr>
                <w:rFonts w:hint="default"/>
              </w:rPr>
              <w:t>行政处罚</w:t>
            </w:r>
          </w:p>
        </w:tc>
        <w:tc>
          <w:tcPr>
            <w:tcW w:w="6600"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7EB0E361">
            <w:r>
              <w:rPr>
                <w:rFonts w:hint="default"/>
              </w:rPr>
              <w:t>6</w:t>
            </w:r>
          </w:p>
        </w:tc>
      </w:tr>
      <w:tr w14:paraId="0D91A8E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06FCA3F6">
            <w:r>
              <w:rPr>
                <w:rFonts w:hint="default"/>
              </w:rPr>
              <w:t>行政强制</w:t>
            </w:r>
          </w:p>
        </w:tc>
        <w:tc>
          <w:tcPr>
            <w:tcW w:w="6600"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3A9804C7">
            <w:r>
              <w:rPr>
                <w:rFonts w:hint="default"/>
              </w:rPr>
              <w:t>0</w:t>
            </w:r>
          </w:p>
        </w:tc>
      </w:tr>
      <w:tr w14:paraId="53EAAB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8820" w:type="dxa"/>
            <w:gridSpan w:val="4"/>
            <w:tcBorders>
              <w:top w:val="single" w:color="4874CB" w:sz="6" w:space="0"/>
              <w:left w:val="outset" w:color="auto" w:sz="6" w:space="0"/>
              <w:bottom w:val="single" w:color="4874CB" w:sz="6" w:space="0"/>
              <w:right w:val="outset" w:color="auto" w:sz="6" w:space="0"/>
            </w:tcBorders>
            <w:shd w:val="clear" w:color="auto" w:fill="FFFFFF"/>
            <w:tcMar>
              <w:left w:w="75" w:type="dxa"/>
              <w:right w:w="75" w:type="dxa"/>
            </w:tcMar>
            <w:vAlign w:val="top"/>
          </w:tcPr>
          <w:p w14:paraId="3EBA0446">
            <w:r>
              <w:rPr>
                <w:rFonts w:hint="default"/>
              </w:rPr>
              <w:t>第二十条第（八）项</w:t>
            </w:r>
          </w:p>
        </w:tc>
      </w:tr>
      <w:tr w14:paraId="7B06CE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2190" w:type="dxa"/>
            <w:tcBorders>
              <w:top w:val="single" w:color="4874CB" w:sz="6" w:space="0"/>
              <w:left w:val="outset" w:color="auto" w:sz="6" w:space="0"/>
              <w:bottom w:val="single" w:color="4874CB" w:sz="6" w:space="0"/>
              <w:right w:val="single" w:color="4874CB" w:sz="6" w:space="0"/>
            </w:tcBorders>
            <w:shd w:val="clear" w:color="auto" w:fill="FFFFFF"/>
            <w:tcMar>
              <w:left w:w="75" w:type="dxa"/>
              <w:right w:w="75" w:type="dxa"/>
            </w:tcMar>
            <w:vAlign w:val="top"/>
          </w:tcPr>
          <w:p w14:paraId="4C54F95F">
            <w:r>
              <w:rPr>
                <w:rFonts w:hint="default"/>
              </w:rPr>
              <w:t>信息内容</w:t>
            </w:r>
          </w:p>
        </w:tc>
        <w:tc>
          <w:tcPr>
            <w:tcW w:w="6600" w:type="dxa"/>
            <w:gridSpan w:val="3"/>
            <w:tcBorders>
              <w:top w:val="single" w:color="4874CB" w:sz="6" w:space="0"/>
              <w:left w:val="single" w:color="4874CB" w:sz="6" w:space="0"/>
              <w:bottom w:val="single" w:color="4874CB" w:sz="6" w:space="0"/>
              <w:right w:val="outset" w:color="auto" w:sz="6" w:space="0"/>
            </w:tcBorders>
            <w:shd w:val="clear" w:color="auto" w:fill="DBE3F4"/>
            <w:tcMar>
              <w:left w:w="75" w:type="dxa"/>
              <w:right w:w="75" w:type="dxa"/>
            </w:tcMar>
            <w:vAlign w:val="top"/>
          </w:tcPr>
          <w:p w14:paraId="25470615">
            <w:r>
              <w:rPr>
                <w:rFonts w:hint="default"/>
              </w:rPr>
              <w:t>本年收费金额（单位：万元）</w:t>
            </w:r>
          </w:p>
        </w:tc>
      </w:tr>
      <w:tr w14:paraId="534E1EB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2190" w:type="dxa"/>
            <w:tcBorders>
              <w:top w:val="single" w:color="4874CB" w:sz="6" w:space="0"/>
              <w:left w:val="outset" w:color="auto" w:sz="6" w:space="0"/>
              <w:bottom w:val="outset" w:color="auto" w:sz="6" w:space="0"/>
              <w:right w:val="single" w:color="4874CB" w:sz="6" w:space="0"/>
            </w:tcBorders>
            <w:shd w:val="clear" w:color="auto" w:fill="FFFFFF"/>
            <w:tcMar>
              <w:left w:w="75" w:type="dxa"/>
              <w:right w:w="75" w:type="dxa"/>
            </w:tcMar>
            <w:vAlign w:val="top"/>
          </w:tcPr>
          <w:p w14:paraId="7AE91F85">
            <w:r>
              <w:rPr>
                <w:rFonts w:hint="default"/>
              </w:rPr>
              <w:t>行政事业性收费</w:t>
            </w:r>
          </w:p>
        </w:tc>
        <w:tc>
          <w:tcPr>
            <w:tcW w:w="6600" w:type="dxa"/>
            <w:gridSpan w:val="3"/>
            <w:tcBorders>
              <w:top w:val="single" w:color="4874CB" w:sz="6" w:space="0"/>
              <w:left w:val="single" w:color="4874CB" w:sz="6" w:space="0"/>
              <w:bottom w:val="outset" w:color="auto" w:sz="6" w:space="0"/>
              <w:right w:val="outset" w:color="auto" w:sz="6" w:space="0"/>
            </w:tcBorders>
            <w:shd w:val="clear" w:color="auto" w:fill="DBE3F4"/>
            <w:tcMar>
              <w:left w:w="75" w:type="dxa"/>
              <w:right w:w="75" w:type="dxa"/>
            </w:tcMar>
            <w:vAlign w:val="top"/>
          </w:tcPr>
          <w:p w14:paraId="7B0E110D">
            <w:r>
              <w:rPr>
                <w:rFonts w:hint="default"/>
              </w:rPr>
              <w:t>0</w:t>
            </w:r>
          </w:p>
        </w:tc>
      </w:tr>
    </w:tbl>
    <w:p w14:paraId="33AC4B3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rPr>
      </w:pPr>
      <w:r>
        <w:rPr>
          <w:rFonts w:hint="default"/>
          <w:b/>
          <w:bCs/>
          <w:sz w:val="28"/>
          <w:szCs w:val="28"/>
        </w:rPr>
        <w:t>三、收到和处理政府信息公开申请情况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70"/>
        <w:gridCol w:w="794"/>
        <w:gridCol w:w="2513"/>
        <w:gridCol w:w="555"/>
        <w:gridCol w:w="690"/>
        <w:gridCol w:w="600"/>
        <w:gridCol w:w="750"/>
        <w:gridCol w:w="690"/>
        <w:gridCol w:w="735"/>
        <w:gridCol w:w="559"/>
      </w:tblGrid>
      <w:tr w14:paraId="05EBDDE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20" w:hRule="atLeast"/>
          <w:jc w:val="center"/>
        </w:trPr>
        <w:tc>
          <w:tcPr>
            <w:tcW w:w="3877" w:type="dxa"/>
            <w:gridSpan w:val="3"/>
            <w:vMerge w:val="restart"/>
            <w:tcBorders>
              <w:top w:val="single" w:color="auto" w:sz="6" w:space="0"/>
              <w:left w:val="single" w:color="auto" w:sz="6" w:space="0"/>
              <w:bottom w:val="single" w:color="auto" w:sz="6" w:space="0"/>
              <w:right w:val="single" w:color="auto" w:sz="6" w:space="0"/>
            </w:tcBorders>
            <w:shd w:val="clear"/>
            <w:tcMar>
              <w:left w:w="75" w:type="dxa"/>
              <w:right w:w="75" w:type="dxa"/>
            </w:tcMar>
            <w:vAlign w:val="top"/>
          </w:tcPr>
          <w:p w14:paraId="32DEBAAA">
            <w:r>
              <w:rPr>
                <w:rFonts w:hint="default"/>
              </w:rPr>
              <w:t>（本列数据的勾稽关系为：第一项加第二项之和，等于第三项加第四项之和）</w:t>
            </w:r>
          </w:p>
        </w:tc>
        <w:tc>
          <w:tcPr>
            <w:tcW w:w="4579" w:type="dxa"/>
            <w:gridSpan w:val="7"/>
            <w:tcBorders>
              <w:top w:val="single" w:color="auto" w:sz="6" w:space="0"/>
              <w:left w:val="nil"/>
              <w:bottom w:val="single" w:color="auto" w:sz="6" w:space="0"/>
              <w:right w:val="single" w:color="auto" w:sz="6" w:space="0"/>
            </w:tcBorders>
            <w:shd w:val="clear"/>
            <w:tcMar>
              <w:left w:w="75" w:type="dxa"/>
              <w:right w:w="75" w:type="dxa"/>
            </w:tcMar>
            <w:vAlign w:val="top"/>
          </w:tcPr>
          <w:p w14:paraId="7A79C1BF">
            <w:r>
              <w:rPr>
                <w:rFonts w:hint="default"/>
              </w:rPr>
              <w:t>申请人情况</w:t>
            </w:r>
          </w:p>
        </w:tc>
      </w:tr>
      <w:tr w14:paraId="0DDAEE5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75" w:hRule="atLeast"/>
          <w:jc w:val="center"/>
        </w:trPr>
        <w:tc>
          <w:tcPr>
            <w:tcW w:w="3877" w:type="dxa"/>
            <w:gridSpan w:val="3"/>
            <w:vMerge w:val="continue"/>
            <w:tcBorders>
              <w:top w:val="single" w:color="auto" w:sz="6" w:space="0"/>
              <w:left w:val="single" w:color="auto" w:sz="6" w:space="0"/>
              <w:bottom w:val="single" w:color="auto" w:sz="6" w:space="0"/>
              <w:right w:val="single" w:color="auto" w:sz="6" w:space="0"/>
            </w:tcBorders>
            <w:shd w:val="clear"/>
            <w:tcMar>
              <w:left w:w="75" w:type="dxa"/>
              <w:right w:w="75" w:type="dxa"/>
            </w:tcMar>
            <w:vAlign w:val="top"/>
          </w:tcPr>
          <w:p w14:paraId="4DC43D7D">
            <w:pPr>
              <w:rPr>
                <w:rFonts w:hint="eastAsia"/>
              </w:rPr>
            </w:pPr>
          </w:p>
        </w:tc>
        <w:tc>
          <w:tcPr>
            <w:tcW w:w="555" w:type="dxa"/>
            <w:vMerge w:val="restart"/>
            <w:tcBorders>
              <w:top w:val="nil"/>
              <w:left w:val="nil"/>
              <w:bottom w:val="single" w:color="auto" w:sz="6" w:space="0"/>
              <w:right w:val="single" w:color="auto" w:sz="6" w:space="0"/>
            </w:tcBorders>
            <w:shd w:val="clear"/>
            <w:tcMar>
              <w:left w:w="75" w:type="dxa"/>
              <w:right w:w="75" w:type="dxa"/>
            </w:tcMar>
            <w:vAlign w:val="top"/>
          </w:tcPr>
          <w:p w14:paraId="728D50AD">
            <w:r>
              <w:rPr>
                <w:rFonts w:hint="default"/>
              </w:rPr>
              <w:t>自</w:t>
            </w:r>
            <w:bookmarkStart w:id="0" w:name="_GoBack"/>
            <w:bookmarkEnd w:id="0"/>
            <w:r>
              <w:rPr>
                <w:rFonts w:hint="default"/>
              </w:rPr>
              <w:t>然人</w:t>
            </w:r>
          </w:p>
        </w:tc>
        <w:tc>
          <w:tcPr>
            <w:tcW w:w="3465" w:type="dxa"/>
            <w:gridSpan w:val="5"/>
            <w:tcBorders>
              <w:top w:val="single" w:color="auto" w:sz="6" w:space="0"/>
              <w:left w:val="nil"/>
              <w:bottom w:val="single" w:color="auto" w:sz="6" w:space="0"/>
              <w:right w:val="single" w:color="auto" w:sz="6" w:space="0"/>
            </w:tcBorders>
            <w:shd w:val="clear"/>
            <w:tcMar>
              <w:left w:w="75" w:type="dxa"/>
              <w:right w:w="75" w:type="dxa"/>
            </w:tcMar>
            <w:vAlign w:val="top"/>
          </w:tcPr>
          <w:p w14:paraId="26327240">
            <w:pPr>
              <w:jc w:val="center"/>
            </w:pPr>
            <w:r>
              <w:rPr>
                <w:rFonts w:hint="default"/>
              </w:rPr>
              <w:t>法人或其他组织</w:t>
            </w:r>
          </w:p>
        </w:tc>
        <w:tc>
          <w:tcPr>
            <w:tcW w:w="559" w:type="dxa"/>
            <w:vMerge w:val="restart"/>
            <w:tcBorders>
              <w:top w:val="single" w:color="auto" w:sz="6" w:space="0"/>
              <w:left w:val="nil"/>
              <w:bottom w:val="single" w:color="auto" w:sz="6" w:space="0"/>
              <w:right w:val="single" w:color="auto" w:sz="6" w:space="0"/>
            </w:tcBorders>
            <w:shd w:val="clear"/>
            <w:tcMar>
              <w:left w:w="75" w:type="dxa"/>
              <w:right w:w="75" w:type="dxa"/>
            </w:tcMar>
            <w:vAlign w:val="top"/>
          </w:tcPr>
          <w:p w14:paraId="54B64A71">
            <w:r>
              <w:rPr>
                <w:rFonts w:hint="default"/>
              </w:rPr>
              <w:t>总计</w:t>
            </w:r>
          </w:p>
        </w:tc>
      </w:tr>
      <w:tr w14:paraId="11952B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45" w:hRule="atLeast"/>
          <w:jc w:val="center"/>
        </w:trPr>
        <w:tc>
          <w:tcPr>
            <w:tcW w:w="3877" w:type="dxa"/>
            <w:gridSpan w:val="3"/>
            <w:vMerge w:val="continue"/>
            <w:tcBorders>
              <w:top w:val="single" w:color="auto" w:sz="6" w:space="0"/>
              <w:left w:val="single" w:color="auto" w:sz="6" w:space="0"/>
              <w:bottom w:val="single" w:color="auto" w:sz="6" w:space="0"/>
              <w:right w:val="single" w:color="auto" w:sz="6" w:space="0"/>
            </w:tcBorders>
            <w:shd w:val="clear"/>
            <w:tcMar>
              <w:left w:w="75" w:type="dxa"/>
              <w:right w:w="75" w:type="dxa"/>
            </w:tcMar>
            <w:vAlign w:val="top"/>
          </w:tcPr>
          <w:p w14:paraId="6831602C">
            <w:pPr>
              <w:rPr>
                <w:rFonts w:hint="eastAsia"/>
              </w:rPr>
            </w:pPr>
          </w:p>
        </w:tc>
        <w:tc>
          <w:tcPr>
            <w:tcW w:w="555" w:type="dxa"/>
            <w:vMerge w:val="continue"/>
            <w:tcBorders>
              <w:top w:val="nil"/>
              <w:left w:val="nil"/>
              <w:bottom w:val="single" w:color="auto" w:sz="6" w:space="0"/>
              <w:right w:val="single" w:color="auto" w:sz="6" w:space="0"/>
            </w:tcBorders>
            <w:shd w:val="clear"/>
            <w:tcMar>
              <w:left w:w="75" w:type="dxa"/>
              <w:right w:w="75" w:type="dxa"/>
            </w:tcMar>
            <w:vAlign w:val="top"/>
          </w:tcPr>
          <w:p w14:paraId="2B1D2B01">
            <w:pPr>
              <w:rPr>
                <w:rFonts w:hint="eastAsia"/>
              </w:rPr>
            </w:pPr>
          </w:p>
        </w:tc>
        <w:tc>
          <w:tcPr>
            <w:tcW w:w="690" w:type="dxa"/>
            <w:tcBorders>
              <w:top w:val="nil"/>
              <w:left w:val="nil"/>
              <w:bottom w:val="single" w:color="auto" w:sz="6" w:space="0"/>
              <w:right w:val="single" w:color="auto" w:sz="6" w:space="0"/>
            </w:tcBorders>
            <w:shd w:val="clear"/>
            <w:tcMar>
              <w:left w:w="75" w:type="dxa"/>
              <w:right w:w="75" w:type="dxa"/>
            </w:tcMar>
            <w:vAlign w:val="top"/>
          </w:tcPr>
          <w:p w14:paraId="4C151C15">
            <w:r>
              <w:rPr>
                <w:rFonts w:hint="default"/>
              </w:rPr>
              <w:t>商业 企业</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2F800515">
            <w:r>
              <w:rPr>
                <w:rFonts w:hint="default"/>
              </w:rPr>
              <w:t>科研机构</w:t>
            </w:r>
          </w:p>
        </w:tc>
        <w:tc>
          <w:tcPr>
            <w:tcW w:w="750" w:type="dxa"/>
            <w:tcBorders>
              <w:top w:val="single" w:color="auto" w:sz="6" w:space="0"/>
              <w:left w:val="nil"/>
              <w:bottom w:val="single" w:color="auto" w:sz="6" w:space="0"/>
              <w:right w:val="single" w:color="auto" w:sz="6" w:space="0"/>
            </w:tcBorders>
            <w:shd w:val="clear"/>
            <w:tcMar>
              <w:left w:w="75" w:type="dxa"/>
              <w:right w:w="75" w:type="dxa"/>
            </w:tcMar>
            <w:vAlign w:val="top"/>
          </w:tcPr>
          <w:p w14:paraId="4D347D13">
            <w:r>
              <w:rPr>
                <w:rFonts w:hint="default"/>
              </w:rPr>
              <w:t>社会公 益组织</w:t>
            </w:r>
          </w:p>
        </w:tc>
        <w:tc>
          <w:tcPr>
            <w:tcW w:w="690" w:type="dxa"/>
            <w:tcBorders>
              <w:top w:val="single" w:color="auto" w:sz="6" w:space="0"/>
              <w:left w:val="nil"/>
              <w:bottom w:val="single" w:color="auto" w:sz="6" w:space="0"/>
              <w:right w:val="single" w:color="auto" w:sz="6" w:space="0"/>
            </w:tcBorders>
            <w:shd w:val="clear"/>
            <w:tcMar>
              <w:left w:w="75" w:type="dxa"/>
              <w:right w:w="75" w:type="dxa"/>
            </w:tcMar>
            <w:vAlign w:val="top"/>
          </w:tcPr>
          <w:p w14:paraId="3BBB8563">
            <w:r>
              <w:rPr>
                <w:rFonts w:hint="default"/>
              </w:rPr>
              <w:t>法律服务机构</w:t>
            </w:r>
          </w:p>
        </w:tc>
        <w:tc>
          <w:tcPr>
            <w:tcW w:w="735" w:type="dxa"/>
            <w:tcBorders>
              <w:top w:val="single" w:color="auto" w:sz="6" w:space="0"/>
              <w:left w:val="nil"/>
              <w:bottom w:val="single" w:color="auto" w:sz="6" w:space="0"/>
              <w:right w:val="single" w:color="auto" w:sz="6" w:space="0"/>
            </w:tcBorders>
            <w:shd w:val="clear"/>
            <w:tcMar>
              <w:left w:w="75" w:type="dxa"/>
              <w:right w:w="75" w:type="dxa"/>
            </w:tcMar>
            <w:vAlign w:val="top"/>
          </w:tcPr>
          <w:p w14:paraId="4F78550B">
            <w:r>
              <w:rPr>
                <w:rFonts w:hint="default"/>
              </w:rPr>
              <w:t>其他</w:t>
            </w:r>
          </w:p>
        </w:tc>
        <w:tc>
          <w:tcPr>
            <w:tcW w:w="559" w:type="dxa"/>
            <w:vMerge w:val="continue"/>
            <w:tcBorders>
              <w:top w:val="single" w:color="auto" w:sz="6" w:space="0"/>
              <w:left w:val="nil"/>
              <w:bottom w:val="single" w:color="auto" w:sz="6" w:space="0"/>
              <w:right w:val="single" w:color="auto" w:sz="6" w:space="0"/>
            </w:tcBorders>
            <w:shd w:val="clear"/>
            <w:tcMar>
              <w:left w:w="75" w:type="dxa"/>
              <w:right w:w="75" w:type="dxa"/>
            </w:tcMar>
            <w:vAlign w:val="top"/>
          </w:tcPr>
          <w:p w14:paraId="45463A8F">
            <w:pPr>
              <w:rPr>
                <w:rFonts w:hint="eastAsia"/>
              </w:rPr>
            </w:pPr>
          </w:p>
        </w:tc>
      </w:tr>
      <w:tr w14:paraId="752DCD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5" w:hRule="atLeast"/>
          <w:jc w:val="center"/>
        </w:trPr>
        <w:tc>
          <w:tcPr>
            <w:tcW w:w="3877" w:type="dxa"/>
            <w:gridSpan w:val="3"/>
            <w:tcBorders>
              <w:top w:val="nil"/>
              <w:left w:val="single" w:color="auto" w:sz="6" w:space="0"/>
              <w:bottom w:val="single" w:color="auto" w:sz="6" w:space="0"/>
              <w:right w:val="single" w:color="auto" w:sz="6" w:space="0"/>
            </w:tcBorders>
            <w:shd w:val="clear"/>
            <w:tcMar>
              <w:left w:w="75" w:type="dxa"/>
              <w:right w:w="75" w:type="dxa"/>
            </w:tcMar>
            <w:vAlign w:val="top"/>
          </w:tcPr>
          <w:p w14:paraId="39212F4E">
            <w:r>
              <w:rPr>
                <w:rFonts w:hint="default"/>
              </w:rPr>
              <w:t>一、本年新收政府信息公开申请数量</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3DDBC1E3">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70E8D09F">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00399EB">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48D8B8BD">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2DC941A2">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611C0CAF">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2C1AE7D7">
            <w:r>
              <w:rPr>
                <w:rFonts w:hint="default"/>
              </w:rPr>
              <w:t>0</w:t>
            </w:r>
          </w:p>
        </w:tc>
      </w:tr>
      <w:tr w14:paraId="623167D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15" w:hRule="atLeast"/>
          <w:jc w:val="center"/>
        </w:trPr>
        <w:tc>
          <w:tcPr>
            <w:tcW w:w="3877" w:type="dxa"/>
            <w:gridSpan w:val="3"/>
            <w:tcBorders>
              <w:top w:val="nil"/>
              <w:left w:val="single" w:color="auto" w:sz="6" w:space="0"/>
              <w:bottom w:val="single" w:color="auto" w:sz="6" w:space="0"/>
              <w:right w:val="single" w:color="auto" w:sz="6" w:space="0"/>
            </w:tcBorders>
            <w:shd w:val="clear"/>
            <w:tcMar>
              <w:left w:w="75" w:type="dxa"/>
              <w:right w:w="75" w:type="dxa"/>
            </w:tcMar>
            <w:vAlign w:val="top"/>
          </w:tcPr>
          <w:p w14:paraId="01148CF8">
            <w:r>
              <w:rPr>
                <w:rFonts w:hint="default"/>
              </w:rPr>
              <w:t>二、上年结转政府信息公开申请数量</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4831E719">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65798EFA">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5741A3A8">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6F20AD15">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005D2895">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15B80A8F">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11E6EF63">
            <w:r>
              <w:rPr>
                <w:rFonts w:hint="default"/>
              </w:rPr>
              <w:t>0</w:t>
            </w:r>
          </w:p>
        </w:tc>
      </w:tr>
      <w:tr w14:paraId="5953D6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90" w:hRule="atLeast"/>
          <w:jc w:val="center"/>
        </w:trPr>
        <w:tc>
          <w:tcPr>
            <w:tcW w:w="570" w:type="dxa"/>
            <w:vMerge w:val="restart"/>
            <w:tcBorders>
              <w:top w:val="nil"/>
              <w:left w:val="single" w:color="auto" w:sz="6" w:space="0"/>
              <w:bottom w:val="single" w:color="auto" w:sz="6" w:space="0"/>
              <w:right w:val="single" w:color="auto" w:sz="6" w:space="0"/>
            </w:tcBorders>
            <w:shd w:val="clear"/>
            <w:tcMar>
              <w:left w:w="75" w:type="dxa"/>
              <w:right w:w="75" w:type="dxa"/>
            </w:tcMar>
            <w:vAlign w:val="top"/>
          </w:tcPr>
          <w:p w14:paraId="00A03843">
            <w:r>
              <w:rPr>
                <w:rFonts w:hint="default"/>
              </w:rPr>
              <w:t>三、本年度办理结果</w:t>
            </w:r>
          </w:p>
        </w:tc>
        <w:tc>
          <w:tcPr>
            <w:tcW w:w="3307" w:type="dxa"/>
            <w:gridSpan w:val="2"/>
            <w:tcBorders>
              <w:top w:val="nil"/>
              <w:left w:val="nil"/>
              <w:bottom w:val="single" w:color="auto" w:sz="6" w:space="0"/>
              <w:right w:val="single" w:color="auto" w:sz="6" w:space="0"/>
            </w:tcBorders>
            <w:shd w:val="clear"/>
            <w:tcMar>
              <w:left w:w="75" w:type="dxa"/>
              <w:right w:w="75" w:type="dxa"/>
            </w:tcMar>
            <w:vAlign w:val="top"/>
          </w:tcPr>
          <w:p w14:paraId="7EE1B7FA">
            <w:r>
              <w:rPr>
                <w:rFonts w:hint="default"/>
              </w:rPr>
              <w:t>（一）予以公开</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29FCC9B4">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0B4DE3F1">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E0FDCF9">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123B75DE">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7B79DA0F">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46FA4B42">
            <w:r>
              <w:rPr>
                <w:rFonts w:hint="default"/>
              </w:rPr>
              <w:t>0</w:t>
            </w:r>
          </w:p>
        </w:tc>
        <w:tc>
          <w:tcPr>
            <w:tcW w:w="559" w:type="dxa"/>
            <w:tcBorders>
              <w:top w:val="single" w:color="auto" w:sz="6" w:space="0"/>
              <w:left w:val="nil"/>
              <w:bottom w:val="single" w:color="auto" w:sz="6" w:space="0"/>
              <w:right w:val="single" w:color="auto" w:sz="6" w:space="0"/>
            </w:tcBorders>
            <w:shd w:val="clear"/>
            <w:tcMar>
              <w:left w:w="75" w:type="dxa"/>
              <w:right w:w="75" w:type="dxa"/>
            </w:tcMar>
            <w:vAlign w:val="top"/>
          </w:tcPr>
          <w:p w14:paraId="3D65C2DC">
            <w:r>
              <w:rPr>
                <w:rFonts w:hint="default"/>
              </w:rPr>
              <w:t>0</w:t>
            </w:r>
          </w:p>
        </w:tc>
      </w:tr>
      <w:tr w14:paraId="2E1DB3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63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1FCBA9D4">
            <w:pPr>
              <w:rPr>
                <w:rFonts w:hint="eastAsia"/>
              </w:rPr>
            </w:pPr>
          </w:p>
        </w:tc>
        <w:tc>
          <w:tcPr>
            <w:tcW w:w="3307" w:type="dxa"/>
            <w:gridSpan w:val="2"/>
            <w:tcBorders>
              <w:top w:val="nil"/>
              <w:left w:val="nil"/>
              <w:bottom w:val="single" w:color="auto" w:sz="6" w:space="0"/>
              <w:right w:val="single" w:color="auto" w:sz="6" w:space="0"/>
            </w:tcBorders>
            <w:shd w:val="clear"/>
            <w:tcMar>
              <w:left w:w="75" w:type="dxa"/>
              <w:right w:w="75" w:type="dxa"/>
            </w:tcMar>
            <w:vAlign w:val="top"/>
          </w:tcPr>
          <w:p w14:paraId="5F4E81DC">
            <w:r>
              <w:rPr>
                <w:rFonts w:hint="default"/>
              </w:rPr>
              <w:t>（二）部分公开（区分处理的，只计这一情形，不 计其他情形）</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056F8E98">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094F2114">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75C6FC71">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033A8605">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4410294E">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0CA01388">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5034F302">
            <w:r>
              <w:rPr>
                <w:rFonts w:hint="default"/>
              </w:rPr>
              <w:t>0</w:t>
            </w:r>
          </w:p>
        </w:tc>
      </w:tr>
      <w:tr w14:paraId="2A315E7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3EB45ABD">
            <w:pPr>
              <w:rPr>
                <w:rFonts w:hint="eastAsia"/>
              </w:rPr>
            </w:pPr>
          </w:p>
        </w:tc>
        <w:tc>
          <w:tcPr>
            <w:tcW w:w="794" w:type="dxa"/>
            <w:vMerge w:val="restart"/>
            <w:tcBorders>
              <w:top w:val="nil"/>
              <w:left w:val="nil"/>
              <w:bottom w:val="single" w:color="auto" w:sz="6" w:space="0"/>
              <w:right w:val="single" w:color="auto" w:sz="6" w:space="0"/>
            </w:tcBorders>
            <w:shd w:val="clear"/>
            <w:tcMar>
              <w:left w:w="75" w:type="dxa"/>
              <w:right w:w="75" w:type="dxa"/>
            </w:tcMar>
            <w:vAlign w:val="center"/>
          </w:tcPr>
          <w:p w14:paraId="72DEB373">
            <w:r>
              <w:rPr>
                <w:rFonts w:hint="default"/>
              </w:rPr>
              <w:t>（三）不予公开</w:t>
            </w:r>
          </w:p>
        </w:tc>
        <w:tc>
          <w:tcPr>
            <w:tcW w:w="2513" w:type="dxa"/>
            <w:tcBorders>
              <w:top w:val="nil"/>
              <w:left w:val="nil"/>
              <w:bottom w:val="single" w:color="auto" w:sz="6" w:space="0"/>
              <w:right w:val="single" w:color="auto" w:sz="6" w:space="0"/>
            </w:tcBorders>
            <w:shd w:val="clear"/>
            <w:tcMar>
              <w:left w:w="75" w:type="dxa"/>
              <w:right w:w="75" w:type="dxa"/>
            </w:tcMar>
            <w:vAlign w:val="top"/>
          </w:tcPr>
          <w:p w14:paraId="1DB4C41F">
            <w:r>
              <w:rPr>
                <w:rFonts w:hint="default"/>
              </w:rPr>
              <w:t>1.属于国家秘密</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2D8DBF6B">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185F9F8">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3AFE9DD">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2130D380">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355AA334">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7596F8B4">
            <w:r>
              <w:rPr>
                <w:rFonts w:hint="default"/>
              </w:rPr>
              <w:t>0</w:t>
            </w:r>
          </w:p>
        </w:tc>
        <w:tc>
          <w:tcPr>
            <w:tcW w:w="559" w:type="dxa"/>
            <w:tcBorders>
              <w:top w:val="single" w:color="auto" w:sz="6" w:space="0"/>
              <w:left w:val="nil"/>
              <w:bottom w:val="single" w:color="auto" w:sz="6" w:space="0"/>
              <w:right w:val="single" w:color="auto" w:sz="6" w:space="0"/>
            </w:tcBorders>
            <w:shd w:val="clear"/>
            <w:tcMar>
              <w:left w:w="75" w:type="dxa"/>
              <w:right w:w="75" w:type="dxa"/>
            </w:tcMar>
            <w:vAlign w:val="top"/>
          </w:tcPr>
          <w:p w14:paraId="493A0DD9">
            <w:r>
              <w:rPr>
                <w:rFonts w:hint="default"/>
              </w:rPr>
              <w:t>0</w:t>
            </w:r>
          </w:p>
        </w:tc>
      </w:tr>
      <w:tr w14:paraId="255627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6007CB41">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1FAC859D">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0A0D9882">
            <w:r>
              <w:rPr>
                <w:rFonts w:hint="default"/>
              </w:rPr>
              <w:t>2.其他法律行政法规禁止公开</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6B914FB4">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2A9A9DD">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3B3251BF">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01DAAF7E">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17B7B284">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6062BF1B">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22CEA934">
            <w:r>
              <w:rPr>
                <w:rFonts w:hint="default"/>
              </w:rPr>
              <w:t>0</w:t>
            </w:r>
          </w:p>
        </w:tc>
      </w:tr>
      <w:tr w14:paraId="5C84A7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1CC56702">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0C5D520B">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70A2A8CB">
            <w:r>
              <w:rPr>
                <w:rFonts w:hint="default"/>
              </w:rPr>
              <w:t>3.危及“三安全一稳定”</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6C4EB5FC">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12503EE7">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7417618">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1DEF1085">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101E700">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1AB86503">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2FFE32C0">
            <w:r>
              <w:rPr>
                <w:rFonts w:hint="default"/>
              </w:rPr>
              <w:t>0</w:t>
            </w:r>
          </w:p>
        </w:tc>
      </w:tr>
      <w:tr w14:paraId="3B77DBA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2DD0E3DF">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79FD8640">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03F93D1E">
            <w:r>
              <w:rPr>
                <w:rFonts w:hint="default"/>
              </w:rPr>
              <w:t>4.保护第三方合法权益</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3639EECF">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2C6036E6">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1A283B8A">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2EEB8398">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0AEDDAA2">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6D4FFC73">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43E5FAB3">
            <w:r>
              <w:rPr>
                <w:rFonts w:hint="default"/>
              </w:rPr>
              <w:t>0</w:t>
            </w:r>
          </w:p>
        </w:tc>
      </w:tr>
      <w:tr w14:paraId="0B0BE3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7AD487ED">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34DC7F5F">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11EF032F">
            <w:r>
              <w:rPr>
                <w:rFonts w:hint="default"/>
              </w:rPr>
              <w:t>5.属于三类内部事务信息</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2B37D32D">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04F31965">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4F3CF17A">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55497B9F">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47B92C2C">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156425BC">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3DB40E95">
            <w:r>
              <w:rPr>
                <w:rFonts w:hint="default"/>
              </w:rPr>
              <w:t>0</w:t>
            </w:r>
          </w:p>
        </w:tc>
      </w:tr>
      <w:tr w14:paraId="78EB56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77191411">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0FA6E1AF">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23B92622">
            <w:r>
              <w:rPr>
                <w:rFonts w:hint="default"/>
              </w:rPr>
              <w:t>6.属于四类过程性信息</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533BEF60">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26072CCE">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1FA75E24">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54B43A67">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32A093F">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338BA171">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0757F4AF">
            <w:r>
              <w:rPr>
                <w:rFonts w:hint="default"/>
              </w:rPr>
              <w:t>0</w:t>
            </w:r>
          </w:p>
        </w:tc>
      </w:tr>
      <w:tr w14:paraId="0DB4B1B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1B7D9784">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4CA35DD1">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5FCD9E13">
            <w:r>
              <w:rPr>
                <w:rFonts w:hint="default"/>
              </w:rPr>
              <w:t>7.属于行政执法案卷</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42965148">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C4BAE49">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DE061B0">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54F4C6D3">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6B137260">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01C7C7E8">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02451465">
            <w:r>
              <w:rPr>
                <w:rFonts w:hint="default"/>
              </w:rPr>
              <w:t>0</w:t>
            </w:r>
          </w:p>
        </w:tc>
      </w:tr>
      <w:tr w14:paraId="23C56E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2400F12F">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14BF90EA">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700354EE">
            <w:r>
              <w:rPr>
                <w:rFonts w:hint="default"/>
              </w:rPr>
              <w:t>8.属于行政查询事项</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47566095">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1D5E7AF1">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1227CA3A">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01F7E5E5">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278B9CD6">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2FD604D5">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3E132ADB">
            <w:r>
              <w:rPr>
                <w:rFonts w:hint="default"/>
              </w:rPr>
              <w:t>0</w:t>
            </w:r>
          </w:p>
        </w:tc>
      </w:tr>
      <w:tr w14:paraId="38FC4BD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6BEDA783">
            <w:pPr>
              <w:rPr>
                <w:rFonts w:hint="eastAsia"/>
              </w:rPr>
            </w:pPr>
          </w:p>
        </w:tc>
        <w:tc>
          <w:tcPr>
            <w:tcW w:w="794" w:type="dxa"/>
            <w:vMerge w:val="restart"/>
            <w:tcBorders>
              <w:top w:val="nil"/>
              <w:left w:val="nil"/>
              <w:bottom w:val="single" w:color="auto" w:sz="6" w:space="0"/>
              <w:right w:val="single" w:color="auto" w:sz="6" w:space="0"/>
            </w:tcBorders>
            <w:shd w:val="clear"/>
            <w:tcMar>
              <w:left w:w="75" w:type="dxa"/>
              <w:right w:w="75" w:type="dxa"/>
            </w:tcMar>
            <w:vAlign w:val="center"/>
          </w:tcPr>
          <w:p w14:paraId="0F1DA582">
            <w:r>
              <w:rPr>
                <w:rFonts w:hint="default"/>
              </w:rPr>
              <w:t>（四）无法提供</w:t>
            </w:r>
          </w:p>
        </w:tc>
        <w:tc>
          <w:tcPr>
            <w:tcW w:w="2513" w:type="dxa"/>
            <w:tcBorders>
              <w:top w:val="nil"/>
              <w:left w:val="nil"/>
              <w:bottom w:val="single" w:color="auto" w:sz="6" w:space="0"/>
              <w:right w:val="single" w:color="auto" w:sz="6" w:space="0"/>
            </w:tcBorders>
            <w:shd w:val="clear"/>
            <w:tcMar>
              <w:left w:w="75" w:type="dxa"/>
              <w:right w:w="75" w:type="dxa"/>
            </w:tcMar>
            <w:vAlign w:val="top"/>
          </w:tcPr>
          <w:p w14:paraId="1295FE8A">
            <w:r>
              <w:rPr>
                <w:rFonts w:hint="default"/>
              </w:rPr>
              <w:t>1.本机关不掌握相关政府信息</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49446BEC">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30F6E211">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7E3A2D4">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0DE8B567">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3C2C31B0">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39802106">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7685E195">
            <w:r>
              <w:rPr>
                <w:rFonts w:hint="default"/>
              </w:rPr>
              <w:t>0</w:t>
            </w:r>
          </w:p>
        </w:tc>
      </w:tr>
      <w:tr w14:paraId="60CFFC2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69889AD0">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1FB78E0A">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61F4DFE9">
            <w:r>
              <w:rPr>
                <w:rFonts w:hint="default"/>
              </w:rPr>
              <w:t>2.没有现成信息需要另行制作</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13D5DAB4">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46F72DF0">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55C3C081">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3E65D8B0">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0DCC7A28">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5EAB94BD">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167B2D7A">
            <w:r>
              <w:rPr>
                <w:rFonts w:hint="default"/>
              </w:rPr>
              <w:t>0</w:t>
            </w:r>
          </w:p>
        </w:tc>
      </w:tr>
      <w:tr w14:paraId="0FF7E0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0AD4302E">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731BCE9B">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4C8D3AA9">
            <w:r>
              <w:rPr>
                <w:rFonts w:hint="default"/>
              </w:rPr>
              <w:t>3.补正后申请内容仍不明确</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00B5BF92">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6E4B1415">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ABA916D">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4F1F7F6E">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16214CB5">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1BE2F81C">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6110E714">
            <w:r>
              <w:rPr>
                <w:rFonts w:hint="default"/>
              </w:rPr>
              <w:t>0</w:t>
            </w:r>
          </w:p>
        </w:tc>
      </w:tr>
      <w:tr w14:paraId="01FC05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238E3FC8">
            <w:pPr>
              <w:rPr>
                <w:rFonts w:hint="eastAsia"/>
              </w:rPr>
            </w:pPr>
          </w:p>
        </w:tc>
        <w:tc>
          <w:tcPr>
            <w:tcW w:w="794" w:type="dxa"/>
            <w:vMerge w:val="restart"/>
            <w:tcBorders>
              <w:top w:val="nil"/>
              <w:left w:val="nil"/>
              <w:bottom w:val="single" w:color="auto" w:sz="6" w:space="0"/>
              <w:right w:val="single" w:color="auto" w:sz="6" w:space="0"/>
            </w:tcBorders>
            <w:shd w:val="clear"/>
            <w:tcMar>
              <w:left w:w="75" w:type="dxa"/>
              <w:right w:w="75" w:type="dxa"/>
            </w:tcMar>
            <w:vAlign w:val="center"/>
          </w:tcPr>
          <w:p w14:paraId="0F065E37">
            <w:r>
              <w:rPr>
                <w:rFonts w:hint="default"/>
              </w:rPr>
              <w:t>（五）不予处理</w:t>
            </w:r>
          </w:p>
        </w:tc>
        <w:tc>
          <w:tcPr>
            <w:tcW w:w="2513" w:type="dxa"/>
            <w:tcBorders>
              <w:top w:val="nil"/>
              <w:left w:val="nil"/>
              <w:bottom w:val="single" w:color="auto" w:sz="6" w:space="0"/>
              <w:right w:val="single" w:color="auto" w:sz="6" w:space="0"/>
            </w:tcBorders>
            <w:shd w:val="clear"/>
            <w:tcMar>
              <w:left w:w="75" w:type="dxa"/>
              <w:right w:w="75" w:type="dxa"/>
            </w:tcMar>
            <w:vAlign w:val="top"/>
          </w:tcPr>
          <w:p w14:paraId="2C30DEED">
            <w:r>
              <w:rPr>
                <w:rFonts w:hint="default"/>
              </w:rPr>
              <w:t>1.信访举报投诉类申请</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2700F663">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73BD5E1F">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355D9ECA">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6B6C3567">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3F6A0B16">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24DF1462">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540AD287">
            <w:r>
              <w:rPr>
                <w:rFonts w:hint="default"/>
              </w:rPr>
              <w:t>0</w:t>
            </w:r>
          </w:p>
        </w:tc>
      </w:tr>
      <w:tr w14:paraId="05C2BC3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36A435E2">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7432DD2F">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10D3715E">
            <w:r>
              <w:rPr>
                <w:rFonts w:hint="default"/>
              </w:rPr>
              <w:t>2.重复申请</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5E1E8D2D">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27613186">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8DCC46A">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7094DF3C">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6C0385C5">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293E2FE6">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149BC306">
            <w:r>
              <w:rPr>
                <w:rFonts w:hint="default"/>
              </w:rPr>
              <w:t>0</w:t>
            </w:r>
          </w:p>
        </w:tc>
      </w:tr>
      <w:tr w14:paraId="7CC769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382B78DE">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01129136">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4F80E489">
            <w:r>
              <w:rPr>
                <w:rFonts w:hint="default"/>
              </w:rPr>
              <w:t>3.要求提供公开出版物</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07DA6378">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1EE5DB89">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1019F628">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1585C841">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A52FE28">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2709E5C3">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48B32C43">
            <w:r>
              <w:rPr>
                <w:rFonts w:hint="default"/>
              </w:rPr>
              <w:t>0</w:t>
            </w:r>
          </w:p>
        </w:tc>
      </w:tr>
      <w:tr w14:paraId="09A581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7CD147D5">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5160B1EB">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4760BC71">
            <w:r>
              <w:rPr>
                <w:rFonts w:hint="default"/>
              </w:rPr>
              <w:t>4.无正当理由大量反复申请</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29D35D58">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1C8FC8E3">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529C6109">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4DAC8187">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1D480D1C">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67EB4FD0">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155A4C80">
            <w:r>
              <w:rPr>
                <w:rFonts w:hint="default"/>
              </w:rPr>
              <w:t>0</w:t>
            </w:r>
          </w:p>
        </w:tc>
      </w:tr>
      <w:tr w14:paraId="581389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1B632E26">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133B7D31">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05ADCBE1">
            <w:r>
              <w:rPr>
                <w:rFonts w:hint="default"/>
              </w:rPr>
              <w:t>5.要求行政机关确认或重新出具已获取信息</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36E31CB5">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4A8A6AAB">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724DBBED">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61CF059E">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7C5A780">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6AB4533B">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25507761">
            <w:r>
              <w:rPr>
                <w:rFonts w:hint="default"/>
              </w:rPr>
              <w:t>0</w:t>
            </w:r>
          </w:p>
        </w:tc>
      </w:tr>
      <w:tr w14:paraId="74AACC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7C66D92D">
            <w:pPr>
              <w:rPr>
                <w:rFonts w:hint="eastAsia"/>
              </w:rPr>
            </w:pPr>
          </w:p>
        </w:tc>
        <w:tc>
          <w:tcPr>
            <w:tcW w:w="794" w:type="dxa"/>
            <w:vMerge w:val="restart"/>
            <w:tcBorders>
              <w:top w:val="nil"/>
              <w:left w:val="nil"/>
              <w:bottom w:val="single" w:color="auto" w:sz="6" w:space="0"/>
              <w:right w:val="single" w:color="auto" w:sz="6" w:space="0"/>
            </w:tcBorders>
            <w:shd w:val="clear"/>
            <w:tcMar>
              <w:left w:w="75" w:type="dxa"/>
              <w:right w:w="75" w:type="dxa"/>
            </w:tcMar>
            <w:vAlign w:val="center"/>
          </w:tcPr>
          <w:p w14:paraId="22086C97">
            <w:r>
              <w:rPr>
                <w:rFonts w:hint="default"/>
              </w:rPr>
              <w:t>（六）其他处理</w:t>
            </w:r>
          </w:p>
        </w:tc>
        <w:tc>
          <w:tcPr>
            <w:tcW w:w="2513" w:type="dxa"/>
            <w:tcBorders>
              <w:top w:val="nil"/>
              <w:left w:val="nil"/>
              <w:bottom w:val="single" w:color="auto" w:sz="6" w:space="0"/>
              <w:right w:val="single" w:color="auto" w:sz="6" w:space="0"/>
            </w:tcBorders>
            <w:shd w:val="clear"/>
            <w:tcMar>
              <w:left w:w="75" w:type="dxa"/>
              <w:right w:w="75" w:type="dxa"/>
            </w:tcMar>
            <w:vAlign w:val="top"/>
          </w:tcPr>
          <w:p w14:paraId="63A7AD26">
            <w:r>
              <w:rPr>
                <w:rFonts w:hint="default"/>
              </w:rPr>
              <w:t>1.申请人无正当理由逾期不补正、行政机关不再处理其政府信息公 开申请</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083EC6D1"/>
          <w:p w14:paraId="7200241E">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38402A01"/>
          <w:p w14:paraId="0FB38F31">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76C5DB43"/>
          <w:p w14:paraId="13C08684">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1B391DAA"/>
          <w:p w14:paraId="7EEE97DC">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6CC7E1B8"/>
          <w:p w14:paraId="699477AC">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1B6A81CA"/>
          <w:p w14:paraId="404A398C">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1A9C52E9"/>
          <w:p w14:paraId="556A7E8A">
            <w:r>
              <w:rPr>
                <w:rFonts w:hint="default"/>
              </w:rPr>
              <w:t>0</w:t>
            </w:r>
          </w:p>
        </w:tc>
      </w:tr>
      <w:tr w14:paraId="55A5B98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3F5437F9">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65B1417D">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394BCB50">
            <w:r>
              <w:rPr>
                <w:rFonts w:hint="default"/>
              </w:rPr>
              <w:t>2. 申请人逾期未按收费通知要求 缴纳费用、行政机关不再处理其政 府信息公开申请</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326C8E91"/>
          <w:p w14:paraId="49EC9ED7">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3835C7A3"/>
          <w:p w14:paraId="151641C5">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05C1EA1E"/>
          <w:p w14:paraId="66DD2C64">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54ED2CF2"/>
          <w:p w14:paraId="49A74916">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49CBC331"/>
          <w:p w14:paraId="214F3600">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7176531A"/>
          <w:p w14:paraId="047364B8">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3507FD39"/>
          <w:p w14:paraId="324DDDA0">
            <w:r>
              <w:rPr>
                <w:rFonts w:hint="default"/>
              </w:rPr>
              <w:t>0</w:t>
            </w:r>
          </w:p>
        </w:tc>
      </w:tr>
      <w:tr w14:paraId="5E9A77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6A0E99F0">
            <w:pPr>
              <w:rPr>
                <w:rFonts w:hint="eastAsia"/>
              </w:rPr>
            </w:pPr>
          </w:p>
        </w:tc>
        <w:tc>
          <w:tcPr>
            <w:tcW w:w="794" w:type="dxa"/>
            <w:vMerge w:val="continue"/>
            <w:tcBorders>
              <w:top w:val="nil"/>
              <w:left w:val="nil"/>
              <w:bottom w:val="single" w:color="auto" w:sz="6" w:space="0"/>
              <w:right w:val="single" w:color="auto" w:sz="6" w:space="0"/>
            </w:tcBorders>
            <w:shd w:val="clear"/>
            <w:tcMar>
              <w:left w:w="75" w:type="dxa"/>
              <w:right w:w="75" w:type="dxa"/>
            </w:tcMar>
            <w:vAlign w:val="center"/>
          </w:tcPr>
          <w:p w14:paraId="657F9F06">
            <w:pPr>
              <w:rPr>
                <w:rFonts w:hint="eastAsia"/>
              </w:rPr>
            </w:pPr>
          </w:p>
        </w:tc>
        <w:tc>
          <w:tcPr>
            <w:tcW w:w="2513" w:type="dxa"/>
            <w:tcBorders>
              <w:top w:val="nil"/>
              <w:left w:val="nil"/>
              <w:bottom w:val="single" w:color="auto" w:sz="6" w:space="0"/>
              <w:right w:val="single" w:color="auto" w:sz="6" w:space="0"/>
            </w:tcBorders>
            <w:shd w:val="clear"/>
            <w:tcMar>
              <w:left w:w="75" w:type="dxa"/>
              <w:right w:w="75" w:type="dxa"/>
            </w:tcMar>
            <w:vAlign w:val="top"/>
          </w:tcPr>
          <w:p w14:paraId="514F5CEB">
            <w:r>
              <w:rPr>
                <w:rFonts w:hint="default"/>
              </w:rPr>
              <w:t>3.其他</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446C7582">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09F0DE9A">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4F082281">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396AB453">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492AAAD8">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1AC38DAD">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78FDE361">
            <w:r>
              <w:rPr>
                <w:rFonts w:hint="default"/>
              </w:rPr>
              <w:t>0</w:t>
            </w:r>
          </w:p>
        </w:tc>
      </w:tr>
      <w:tr w14:paraId="641D3D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jc w:val="center"/>
        </w:trPr>
        <w:tc>
          <w:tcPr>
            <w:tcW w:w="570" w:type="dxa"/>
            <w:vMerge w:val="continue"/>
            <w:tcBorders>
              <w:top w:val="nil"/>
              <w:left w:val="single" w:color="auto" w:sz="6" w:space="0"/>
              <w:bottom w:val="single" w:color="auto" w:sz="6" w:space="0"/>
              <w:right w:val="single" w:color="auto" w:sz="6" w:space="0"/>
            </w:tcBorders>
            <w:shd w:val="clear"/>
            <w:tcMar>
              <w:left w:w="75" w:type="dxa"/>
              <w:right w:w="75" w:type="dxa"/>
            </w:tcMar>
            <w:vAlign w:val="top"/>
          </w:tcPr>
          <w:p w14:paraId="397CF23C">
            <w:pPr>
              <w:rPr>
                <w:rFonts w:hint="eastAsia"/>
              </w:rPr>
            </w:pPr>
          </w:p>
        </w:tc>
        <w:tc>
          <w:tcPr>
            <w:tcW w:w="3307" w:type="dxa"/>
            <w:gridSpan w:val="2"/>
            <w:tcBorders>
              <w:top w:val="nil"/>
              <w:left w:val="nil"/>
              <w:bottom w:val="single" w:color="auto" w:sz="6" w:space="0"/>
              <w:right w:val="single" w:color="auto" w:sz="6" w:space="0"/>
            </w:tcBorders>
            <w:shd w:val="clear"/>
            <w:tcMar>
              <w:left w:w="75" w:type="dxa"/>
              <w:right w:w="75" w:type="dxa"/>
            </w:tcMar>
            <w:vAlign w:val="top"/>
          </w:tcPr>
          <w:p w14:paraId="40EFD4DC">
            <w:r>
              <w:rPr>
                <w:rFonts w:hint="default"/>
              </w:rPr>
              <w:t>（七）总计</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412DB34C">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6DB80C2A">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55F92A7A">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7485E637">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3B94EC22">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04CD0251">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53CDBC12">
            <w:r>
              <w:rPr>
                <w:rFonts w:hint="default"/>
              </w:rPr>
              <w:t>0</w:t>
            </w:r>
          </w:p>
        </w:tc>
      </w:tr>
      <w:tr w14:paraId="26599A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65" w:hRule="atLeast"/>
          <w:jc w:val="center"/>
        </w:trPr>
        <w:tc>
          <w:tcPr>
            <w:tcW w:w="3877" w:type="dxa"/>
            <w:gridSpan w:val="3"/>
            <w:tcBorders>
              <w:top w:val="nil"/>
              <w:left w:val="single" w:color="auto" w:sz="6" w:space="0"/>
              <w:bottom w:val="single" w:color="auto" w:sz="6" w:space="0"/>
              <w:right w:val="single" w:color="auto" w:sz="6" w:space="0"/>
            </w:tcBorders>
            <w:shd w:val="clear"/>
            <w:tcMar>
              <w:left w:w="75" w:type="dxa"/>
              <w:right w:w="75" w:type="dxa"/>
            </w:tcMar>
            <w:vAlign w:val="top"/>
          </w:tcPr>
          <w:p w14:paraId="2CA9F5B9">
            <w:r>
              <w:rPr>
                <w:rFonts w:hint="default"/>
              </w:rPr>
              <w:t>四、结转下年度继续办理</w:t>
            </w:r>
          </w:p>
        </w:tc>
        <w:tc>
          <w:tcPr>
            <w:tcW w:w="555" w:type="dxa"/>
            <w:tcBorders>
              <w:top w:val="nil"/>
              <w:left w:val="nil"/>
              <w:bottom w:val="single" w:color="auto" w:sz="6" w:space="0"/>
              <w:right w:val="single" w:color="auto" w:sz="6" w:space="0"/>
            </w:tcBorders>
            <w:shd w:val="clear"/>
            <w:tcMar>
              <w:left w:w="75" w:type="dxa"/>
              <w:right w:w="75" w:type="dxa"/>
            </w:tcMar>
            <w:vAlign w:val="top"/>
          </w:tcPr>
          <w:p w14:paraId="5657CB69">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433AD375">
            <w:r>
              <w:rPr>
                <w:rFonts w:hint="default"/>
              </w:rPr>
              <w:t>0</w:t>
            </w:r>
          </w:p>
        </w:tc>
        <w:tc>
          <w:tcPr>
            <w:tcW w:w="600" w:type="dxa"/>
            <w:tcBorders>
              <w:top w:val="nil"/>
              <w:left w:val="nil"/>
              <w:bottom w:val="single" w:color="auto" w:sz="6" w:space="0"/>
              <w:right w:val="single" w:color="auto" w:sz="6" w:space="0"/>
            </w:tcBorders>
            <w:shd w:val="clear"/>
            <w:tcMar>
              <w:left w:w="75" w:type="dxa"/>
              <w:right w:w="75" w:type="dxa"/>
            </w:tcMar>
            <w:vAlign w:val="top"/>
          </w:tcPr>
          <w:p w14:paraId="175BBEE4">
            <w:r>
              <w:rPr>
                <w:rFonts w:hint="default"/>
              </w:rPr>
              <w:t>0</w:t>
            </w:r>
          </w:p>
        </w:tc>
        <w:tc>
          <w:tcPr>
            <w:tcW w:w="750" w:type="dxa"/>
            <w:tcBorders>
              <w:top w:val="nil"/>
              <w:left w:val="nil"/>
              <w:bottom w:val="single" w:color="auto" w:sz="6" w:space="0"/>
              <w:right w:val="single" w:color="auto" w:sz="6" w:space="0"/>
            </w:tcBorders>
            <w:shd w:val="clear"/>
            <w:tcMar>
              <w:left w:w="75" w:type="dxa"/>
              <w:right w:w="75" w:type="dxa"/>
            </w:tcMar>
            <w:vAlign w:val="top"/>
          </w:tcPr>
          <w:p w14:paraId="721F491A">
            <w:r>
              <w:rPr>
                <w:rFonts w:hint="default"/>
              </w:rPr>
              <w:t>0</w:t>
            </w:r>
          </w:p>
        </w:tc>
        <w:tc>
          <w:tcPr>
            <w:tcW w:w="690" w:type="dxa"/>
            <w:tcBorders>
              <w:top w:val="nil"/>
              <w:left w:val="nil"/>
              <w:bottom w:val="single" w:color="auto" w:sz="6" w:space="0"/>
              <w:right w:val="single" w:color="auto" w:sz="6" w:space="0"/>
            </w:tcBorders>
            <w:shd w:val="clear"/>
            <w:tcMar>
              <w:left w:w="75" w:type="dxa"/>
              <w:right w:w="75" w:type="dxa"/>
            </w:tcMar>
            <w:vAlign w:val="top"/>
          </w:tcPr>
          <w:p w14:paraId="5525263C">
            <w:r>
              <w:rPr>
                <w:rFonts w:hint="default"/>
              </w:rPr>
              <w:t>0</w:t>
            </w:r>
          </w:p>
        </w:tc>
        <w:tc>
          <w:tcPr>
            <w:tcW w:w="735" w:type="dxa"/>
            <w:tcBorders>
              <w:top w:val="nil"/>
              <w:left w:val="nil"/>
              <w:bottom w:val="single" w:color="auto" w:sz="6" w:space="0"/>
              <w:right w:val="single" w:color="auto" w:sz="6" w:space="0"/>
            </w:tcBorders>
            <w:shd w:val="clear"/>
            <w:tcMar>
              <w:left w:w="75" w:type="dxa"/>
              <w:right w:w="75" w:type="dxa"/>
            </w:tcMar>
            <w:vAlign w:val="top"/>
          </w:tcPr>
          <w:p w14:paraId="07E3CF45">
            <w:r>
              <w:rPr>
                <w:rFonts w:hint="default"/>
              </w:rPr>
              <w:t>0</w:t>
            </w:r>
          </w:p>
        </w:tc>
        <w:tc>
          <w:tcPr>
            <w:tcW w:w="559" w:type="dxa"/>
            <w:tcBorders>
              <w:top w:val="nil"/>
              <w:left w:val="nil"/>
              <w:bottom w:val="single" w:color="auto" w:sz="6" w:space="0"/>
              <w:right w:val="single" w:color="auto" w:sz="6" w:space="0"/>
            </w:tcBorders>
            <w:shd w:val="clear"/>
            <w:tcMar>
              <w:left w:w="75" w:type="dxa"/>
              <w:right w:w="75" w:type="dxa"/>
            </w:tcMar>
            <w:vAlign w:val="top"/>
          </w:tcPr>
          <w:p w14:paraId="0540D5DF">
            <w:r>
              <w:rPr>
                <w:rFonts w:hint="default"/>
              </w:rPr>
              <w:t>0</w:t>
            </w:r>
          </w:p>
        </w:tc>
      </w:tr>
    </w:tbl>
    <w:p w14:paraId="70C2BD6E">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rPr>
      </w:pPr>
      <w:r>
        <w:rPr>
          <w:rFonts w:hint="default"/>
          <w:b/>
          <w:bCs/>
          <w:sz w:val="28"/>
          <w:szCs w:val="28"/>
        </w:rPr>
        <w:t>四、政府信息公开行政复议、行政诉讼情况</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60"/>
        <w:gridCol w:w="548"/>
        <w:gridCol w:w="548"/>
        <w:gridCol w:w="548"/>
        <w:gridCol w:w="649"/>
        <w:gridCol w:w="511"/>
        <w:gridCol w:w="549"/>
        <w:gridCol w:w="549"/>
        <w:gridCol w:w="549"/>
        <w:gridCol w:w="612"/>
        <w:gridCol w:w="549"/>
        <w:gridCol w:w="549"/>
        <w:gridCol w:w="549"/>
        <w:gridCol w:w="549"/>
        <w:gridCol w:w="637"/>
      </w:tblGrid>
      <w:tr w14:paraId="0E80DC1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3060" w:type="dxa"/>
            <w:gridSpan w:val="5"/>
            <w:tcBorders>
              <w:top w:val="outset" w:color="auto" w:sz="6" w:space="0"/>
              <w:left w:val="outset" w:color="auto" w:sz="6" w:space="0"/>
              <w:bottom w:val="single" w:color="000000" w:sz="6" w:space="0"/>
              <w:right w:val="single" w:color="000000" w:sz="6" w:space="0"/>
            </w:tcBorders>
            <w:shd w:val="clear"/>
            <w:tcMar>
              <w:left w:w="75" w:type="dxa"/>
              <w:right w:w="75" w:type="dxa"/>
            </w:tcMar>
            <w:vAlign w:val="top"/>
          </w:tcPr>
          <w:p w14:paraId="3AAAB558">
            <w:r>
              <w:rPr>
                <w:rFonts w:hint="default"/>
              </w:rPr>
              <w:t>行政复议</w:t>
            </w:r>
          </w:p>
        </w:tc>
        <w:tc>
          <w:tcPr>
            <w:tcW w:w="5985" w:type="dxa"/>
            <w:gridSpan w:val="10"/>
            <w:tcBorders>
              <w:top w:val="outset" w:color="auto" w:sz="6" w:space="0"/>
              <w:left w:val="single" w:color="000000" w:sz="6" w:space="0"/>
              <w:bottom w:val="single" w:color="000000" w:sz="6" w:space="0"/>
              <w:right w:val="outset" w:color="auto" w:sz="6" w:space="0"/>
            </w:tcBorders>
            <w:shd w:val="clear"/>
            <w:tcMar>
              <w:left w:w="75" w:type="dxa"/>
              <w:right w:w="75" w:type="dxa"/>
            </w:tcMar>
            <w:vAlign w:val="top"/>
          </w:tcPr>
          <w:p w14:paraId="0F89A8E0">
            <w:r>
              <w:rPr>
                <w:rFonts w:hint="default"/>
              </w:rPr>
              <w:t>行政诉讼</w:t>
            </w:r>
          </w:p>
        </w:tc>
      </w:tr>
      <w:tr w14:paraId="17836D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55" w:hRule="atLeast"/>
          <w:jc w:val="center"/>
        </w:trPr>
        <w:tc>
          <w:tcPr>
            <w:tcW w:w="600" w:type="dxa"/>
            <w:vMerge w:val="restart"/>
            <w:tcBorders>
              <w:top w:val="single" w:color="000000" w:sz="6" w:space="0"/>
              <w:left w:val="outset" w:color="auto" w:sz="6" w:space="0"/>
              <w:bottom w:val="single" w:color="000000" w:sz="6" w:space="0"/>
              <w:right w:val="single" w:color="000000" w:sz="6" w:space="0"/>
            </w:tcBorders>
            <w:shd w:val="clear"/>
            <w:tcMar>
              <w:left w:w="75" w:type="dxa"/>
              <w:right w:w="75" w:type="dxa"/>
            </w:tcMar>
            <w:vAlign w:val="top"/>
          </w:tcPr>
          <w:p w14:paraId="340194E9">
            <w:r>
              <w:rPr>
                <w:rFonts w:hint="default"/>
              </w:rPr>
              <w:t>结果 维持</w:t>
            </w:r>
          </w:p>
        </w:tc>
        <w:tc>
          <w:tcPr>
            <w:tcW w:w="58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7E64F7A3">
            <w:r>
              <w:rPr>
                <w:rFonts w:hint="default"/>
              </w:rPr>
              <w:t>结果 纠正</w:t>
            </w:r>
          </w:p>
        </w:tc>
        <w:tc>
          <w:tcPr>
            <w:tcW w:w="58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7988D99E">
            <w:r>
              <w:rPr>
                <w:rFonts w:hint="default"/>
              </w:rPr>
              <w:t>其他 结果</w:t>
            </w:r>
          </w:p>
        </w:tc>
        <w:tc>
          <w:tcPr>
            <w:tcW w:w="58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5042E5BC">
            <w:r>
              <w:rPr>
                <w:rFonts w:hint="default"/>
              </w:rPr>
              <w:t>尚未审结</w:t>
            </w:r>
          </w:p>
        </w:tc>
        <w:tc>
          <w:tcPr>
            <w:tcW w:w="645" w:type="dxa"/>
            <w:vMerge w:val="restart"/>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35995750">
            <w:r>
              <w:rPr>
                <w:rFonts w:hint="default"/>
              </w:rPr>
              <w:t>总计</w:t>
            </w:r>
          </w:p>
        </w:tc>
        <w:tc>
          <w:tcPr>
            <w:tcW w:w="2955" w:type="dxa"/>
            <w:gridSpan w:val="5"/>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273A06FD">
            <w:r>
              <w:rPr>
                <w:rFonts w:hint="default"/>
              </w:rPr>
              <w:t>未经复议直接起诉</w:t>
            </w:r>
          </w:p>
        </w:tc>
        <w:tc>
          <w:tcPr>
            <w:tcW w:w="3015" w:type="dxa"/>
            <w:gridSpan w:val="5"/>
            <w:tcBorders>
              <w:top w:val="single" w:color="000000" w:sz="6" w:space="0"/>
              <w:left w:val="single" w:color="000000" w:sz="6" w:space="0"/>
              <w:bottom w:val="single" w:color="000000" w:sz="6" w:space="0"/>
              <w:right w:val="outset" w:color="auto" w:sz="6" w:space="0"/>
            </w:tcBorders>
            <w:shd w:val="clear"/>
            <w:tcMar>
              <w:left w:w="75" w:type="dxa"/>
              <w:right w:w="75" w:type="dxa"/>
            </w:tcMar>
            <w:vAlign w:val="top"/>
          </w:tcPr>
          <w:p w14:paraId="70250C3E">
            <w:r>
              <w:rPr>
                <w:rFonts w:hint="default"/>
              </w:rPr>
              <w:t>复议后起诉</w:t>
            </w:r>
          </w:p>
        </w:tc>
      </w:tr>
      <w:tr w14:paraId="7340E5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00" w:hRule="atLeast"/>
          <w:jc w:val="center"/>
        </w:trPr>
        <w:tc>
          <w:tcPr>
            <w:tcW w:w="600" w:type="dxa"/>
            <w:vMerge w:val="continue"/>
            <w:tcBorders>
              <w:top w:val="single" w:color="000000" w:sz="6" w:space="0"/>
              <w:left w:val="outset" w:color="auto" w:sz="6" w:space="0"/>
              <w:bottom w:val="single" w:color="000000" w:sz="6" w:space="0"/>
              <w:right w:val="single" w:color="000000" w:sz="6" w:space="0"/>
            </w:tcBorders>
            <w:shd w:val="clear"/>
            <w:tcMar>
              <w:left w:w="75" w:type="dxa"/>
              <w:right w:w="75" w:type="dxa"/>
            </w:tcMar>
            <w:vAlign w:val="top"/>
          </w:tcPr>
          <w:p w14:paraId="695798D4">
            <w:pPr>
              <w:rPr>
                <w:rFonts w:hint="eastAsia"/>
              </w:rPr>
            </w:pPr>
          </w:p>
        </w:tc>
        <w:tc>
          <w:tcPr>
            <w:tcW w:w="58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0E7D27DA">
            <w:pPr>
              <w:rPr>
                <w:rFonts w:hint="eastAsia"/>
              </w:rPr>
            </w:pPr>
          </w:p>
        </w:tc>
        <w:tc>
          <w:tcPr>
            <w:tcW w:w="58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3E15A26D">
            <w:pPr>
              <w:rPr>
                <w:rFonts w:hint="eastAsia"/>
              </w:rPr>
            </w:pPr>
          </w:p>
        </w:tc>
        <w:tc>
          <w:tcPr>
            <w:tcW w:w="58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04237CE6">
            <w:pPr>
              <w:rPr>
                <w:rFonts w:hint="eastAsia"/>
              </w:rPr>
            </w:pPr>
          </w:p>
        </w:tc>
        <w:tc>
          <w:tcPr>
            <w:tcW w:w="645" w:type="dxa"/>
            <w:vMerge w:val="continue"/>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4626EE16">
            <w:pPr>
              <w:rPr>
                <w:rFonts w:hint="eastAsia"/>
              </w:rPr>
            </w:pPr>
          </w:p>
        </w:tc>
        <w:tc>
          <w:tcPr>
            <w:tcW w:w="540"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2A573D1A">
            <w:r>
              <w:rPr>
                <w:rFonts w:hint="default"/>
              </w:rPr>
              <w:t>结果 维持</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5707F02A">
            <w:r>
              <w:rPr>
                <w:rFonts w:hint="default"/>
              </w:rPr>
              <w:t>结果 纠正</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32A9A3AC">
            <w:r>
              <w:rPr>
                <w:rFonts w:hint="default"/>
              </w:rPr>
              <w:t>其他 结果</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3229E5ED">
            <w:r>
              <w:rPr>
                <w:rFonts w:hint="default"/>
              </w:rPr>
              <w:t>尚未审结</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0CBE6F94">
            <w:r>
              <w:rPr>
                <w:rFonts w:hint="default"/>
              </w:rPr>
              <w:t>总计</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649EAF04">
            <w:r>
              <w:rPr>
                <w:rFonts w:hint="default"/>
              </w:rPr>
              <w:t>结果 维持</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14B239A3">
            <w:r>
              <w:rPr>
                <w:rFonts w:hint="default"/>
              </w:rPr>
              <w:t>结果 纠正</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7DB3998D">
            <w:r>
              <w:rPr>
                <w:rFonts w:hint="default"/>
              </w:rPr>
              <w:t>其他 结果</w:t>
            </w:r>
          </w:p>
        </w:tc>
        <w:tc>
          <w:tcPr>
            <w:tcW w:w="585" w:type="dxa"/>
            <w:tcBorders>
              <w:top w:val="single" w:color="000000" w:sz="6" w:space="0"/>
              <w:left w:val="single" w:color="000000" w:sz="6" w:space="0"/>
              <w:bottom w:val="single" w:color="000000" w:sz="6" w:space="0"/>
              <w:right w:val="single" w:color="000000" w:sz="6" w:space="0"/>
            </w:tcBorders>
            <w:shd w:val="clear"/>
            <w:tcMar>
              <w:left w:w="75" w:type="dxa"/>
              <w:right w:w="75" w:type="dxa"/>
            </w:tcMar>
            <w:vAlign w:val="top"/>
          </w:tcPr>
          <w:p w14:paraId="26EB1FC9">
            <w:r>
              <w:rPr>
                <w:rFonts w:hint="default"/>
              </w:rPr>
              <w:t>尚未审结</w:t>
            </w:r>
          </w:p>
        </w:tc>
        <w:tc>
          <w:tcPr>
            <w:tcW w:w="600" w:type="dxa"/>
            <w:tcBorders>
              <w:top w:val="single" w:color="000000" w:sz="6" w:space="0"/>
              <w:left w:val="single" w:color="000000" w:sz="6" w:space="0"/>
              <w:bottom w:val="single" w:color="000000" w:sz="6" w:space="0"/>
              <w:right w:val="outset" w:color="auto" w:sz="6" w:space="0"/>
            </w:tcBorders>
            <w:shd w:val="clear"/>
            <w:tcMar>
              <w:left w:w="75" w:type="dxa"/>
              <w:right w:w="75" w:type="dxa"/>
            </w:tcMar>
            <w:vAlign w:val="top"/>
          </w:tcPr>
          <w:p w14:paraId="43B05A03">
            <w:r>
              <w:rPr>
                <w:rFonts w:hint="default"/>
              </w:rPr>
              <w:t>总计</w:t>
            </w:r>
          </w:p>
        </w:tc>
      </w:tr>
      <w:tr w14:paraId="6FAFB0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600" w:type="dxa"/>
            <w:tcBorders>
              <w:top w:val="single" w:color="000000" w:sz="6" w:space="0"/>
              <w:left w:val="outset" w:color="auto" w:sz="6" w:space="0"/>
              <w:bottom w:val="outset" w:color="auto" w:sz="6" w:space="0"/>
              <w:right w:val="single" w:color="000000" w:sz="6" w:space="0"/>
            </w:tcBorders>
            <w:shd w:val="clear"/>
            <w:tcMar>
              <w:left w:w="75" w:type="dxa"/>
              <w:right w:w="75" w:type="dxa"/>
            </w:tcMar>
            <w:vAlign w:val="center"/>
          </w:tcPr>
          <w:p w14:paraId="5801089C">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33B6CCD0">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7B0139E3">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79E61444">
            <w:r>
              <w:rPr>
                <w:rFonts w:hint="default"/>
              </w:rPr>
              <w:t>0</w:t>
            </w:r>
          </w:p>
        </w:tc>
        <w:tc>
          <w:tcPr>
            <w:tcW w:w="64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15E0F1A2">
            <w:r>
              <w:rPr>
                <w:rFonts w:hint="default"/>
              </w:rPr>
              <w:t>0</w:t>
            </w:r>
          </w:p>
        </w:tc>
        <w:tc>
          <w:tcPr>
            <w:tcW w:w="540"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23F31A51">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5C5C661A">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4EBFFFA9">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13D5374B">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77EB079C">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44764F5D">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445B5B06">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66EA7D1E">
            <w:r>
              <w:rPr>
                <w:rFonts w:hint="default"/>
              </w:rPr>
              <w:t>0</w:t>
            </w:r>
          </w:p>
        </w:tc>
        <w:tc>
          <w:tcPr>
            <w:tcW w:w="585" w:type="dxa"/>
            <w:tcBorders>
              <w:top w:val="single" w:color="000000" w:sz="6" w:space="0"/>
              <w:left w:val="single" w:color="000000" w:sz="6" w:space="0"/>
              <w:bottom w:val="outset" w:color="auto" w:sz="6" w:space="0"/>
              <w:right w:val="single" w:color="000000" w:sz="6" w:space="0"/>
            </w:tcBorders>
            <w:shd w:val="clear"/>
            <w:tcMar>
              <w:left w:w="75" w:type="dxa"/>
              <w:right w:w="75" w:type="dxa"/>
            </w:tcMar>
            <w:vAlign w:val="center"/>
          </w:tcPr>
          <w:p w14:paraId="3AD9D028">
            <w:r>
              <w:rPr>
                <w:rFonts w:hint="default"/>
              </w:rPr>
              <w:t>0</w:t>
            </w:r>
          </w:p>
        </w:tc>
        <w:tc>
          <w:tcPr>
            <w:tcW w:w="600" w:type="dxa"/>
            <w:tcBorders>
              <w:top w:val="single" w:color="000000" w:sz="6" w:space="0"/>
              <w:left w:val="single" w:color="000000" w:sz="6" w:space="0"/>
              <w:bottom w:val="outset" w:color="auto" w:sz="6" w:space="0"/>
              <w:right w:val="outset" w:color="auto" w:sz="6" w:space="0"/>
            </w:tcBorders>
            <w:shd w:val="clear"/>
            <w:tcMar>
              <w:left w:w="75" w:type="dxa"/>
              <w:right w:w="75" w:type="dxa"/>
            </w:tcMar>
            <w:vAlign w:val="center"/>
          </w:tcPr>
          <w:p w14:paraId="3E8FD359">
            <w:r>
              <w:rPr>
                <w:rFonts w:hint="default"/>
              </w:rPr>
              <w:t>0</w:t>
            </w:r>
          </w:p>
        </w:tc>
      </w:tr>
    </w:tbl>
    <w:p w14:paraId="33A24C7B">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b/>
          <w:bCs/>
          <w:sz w:val="28"/>
          <w:szCs w:val="28"/>
        </w:rPr>
      </w:pPr>
      <w:r>
        <w:rPr>
          <w:rFonts w:hint="default"/>
          <w:b/>
          <w:bCs/>
          <w:sz w:val="28"/>
          <w:szCs w:val="28"/>
        </w:rPr>
        <w:t>五、存在的主要问题及改进情况</w:t>
      </w:r>
    </w:p>
    <w:p w14:paraId="143F4D9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2025年，我局政府信息公开工作取得了一定的成效，但也存在一些不足：一是公开的深度和广度有待拓展。部分重点领域，如安全生产隐患排查数据、灾害风险评估结果的信息公开还不够细化，数据的可视化展示和关联分析较少。二是政策解读质量有待提高。部分解读形式较为单一，仍以文字解读为主，运用图表、视频、动漫等群众喜闻乐见的方式进行解读的比例不高，解读的通俗性和针对性有待加强。三是政务公开标准化规范化建设需持续推进。部分领域信息公开目录和标准需根据工作实际动态调整完善，内部各科室间公开意识、标准掌握程度存在不平衡。</w:t>
      </w:r>
    </w:p>
    <w:p w14:paraId="0AE2E2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2026年，将重点从以下几个方面改进提升：一是进一步扩大公开范围。结合应急管理工作实际，重点推进安全生产执法结果、预警信息及应对、应急演练等信息公开，探索利用数据图表等形式直观展示工作成效。二是提升政策解读实效。建立政策解读同步机制，坚持政策文件与解读方案、解读材料同步组织、同步审签、同步部署，不断丰富解读形式，增加视频、动漫等解读方式，提高解读的可读性和传播力。三是加强队伍建设与培训。加大对《政府信息公开条例》及业务操作系统的培训力度，通过“请进来、走出去”的方式，不断提高政务公开工作水平。</w:t>
      </w:r>
    </w:p>
    <w:p w14:paraId="3577E52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b/>
          <w:bCs/>
          <w:sz w:val="28"/>
          <w:szCs w:val="28"/>
        </w:rPr>
      </w:pPr>
      <w:r>
        <w:rPr>
          <w:rFonts w:hint="default"/>
          <w:b/>
          <w:bCs/>
          <w:sz w:val="28"/>
          <w:szCs w:val="28"/>
        </w:rPr>
        <w:t>六、其他需要报告的事项</w:t>
      </w:r>
    </w:p>
    <w:p w14:paraId="0747AF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1.本年度政府信息公开申请未达到《政府信息公开信息处理费管理办法》（国办函〔2020〕109号）所规定的信息处理费收费标准，故未收取信息处理费。</w:t>
      </w:r>
    </w:p>
    <w:p w14:paraId="14F3298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2.落实上级政务公开重点工作情况。按照上级要求，结合我局职责，结合工作实际，我局制定了《2025年枣庄高新区应急管理局政务公开工作方案》，强化专题专栏维护，明确专人负责维护本部门政务公开信息，确保重点领域信息集中发布、分类清晰、查询便捷。积极参加市、区组织的政务公开业务交流培训，不断提升本局工作水平。</w:t>
      </w:r>
    </w:p>
    <w:p w14:paraId="09EE12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3.2025年全年接到市人大常委会交办的人大代表建议办理工作0件，收到市政协十一届三次会议提案0件。</w:t>
      </w:r>
    </w:p>
    <w:p w14:paraId="5877595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4.本行政机关年度政务公开工作创新实践情况：区应急管理局高度重视政务公开工作，不断完善政务公开标准体系明确各领域公开内容、时限、载体和责任主体，推动公开工作有章可循、有标可依；加强人员能力培训，定期开展政务公开业务培训，提升全系统工作人员的政策把握能力、信息公开意识、舆情回应技巧和融媒体素养。同时，持续深化“线上”门户网站平台功能，创​新“线下”政府开放日、政务开放月等互动形式，增强政民互动实效。</w:t>
      </w:r>
    </w:p>
    <w:p w14:paraId="06D1241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5.本行政机关政府信息公开工作年度报告数据统计需要说明的事项。本报告中所列数据的统计时限为2025年1月1日至2025年12月31日。</w:t>
      </w:r>
    </w:p>
    <w:p w14:paraId="3C1BBB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6.本行政机关认为需要报告的其他事项:无。</w:t>
      </w:r>
    </w:p>
    <w:p w14:paraId="74C36A2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r>
        <w:rPr>
          <w:rFonts w:hint="default"/>
          <w:sz w:val="28"/>
          <w:szCs w:val="28"/>
        </w:rPr>
        <w:t>7.其他有关文件专门要求通过政府信息公开工作年度报告予以报告的事项:无。</w:t>
      </w:r>
    </w:p>
    <w:p w14:paraId="22D6D53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31FADB1D-A596-40A9-8200-11C7B75FC11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F51CD"/>
    <w:rsid w:val="56DF5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2026-01-15T08:03:00Z</dcterms:created>
  <dc:creator>WPS_1505147513</dc:creator>
  <cp:lastModifiedBy>WPS_1505147513</cp:lastModifiedBy>
  <dcterms:modified xsi:type="dcterms:W3CDTF">2026-01-15T08:38:14Z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C84036435C9E4E41883D14B4626C4B4F_11</vt:lpwstr>
  </property>
  <property fmtid="{D5CDD505-2E9C-101B-9397-08002B2CF9AE}" pid="4" name="KSOTemplateDocerSaveRecord">
    <vt:lpwstr>eyJoZGlkIjoiZjBjN2ZkNmZlMWM5ZTUxYWFkODU5OWU2YTM1ODZiMWQiLCJ1c2VySWQiOiIxNTA1MTQ3NTEzIn0=</vt:lpwstr>
  </property>
</Properties>
</file>