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5C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枣庄高新区综合执法局2024年政府信息公开工作年度报告</w:t>
      </w:r>
    </w:p>
    <w:p w14:paraId="4F377A7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4DE9475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本报告根据《中华人民共和国政府信息公开条例》（国务院令第711号，以下简称《条例》）《中华人民共和国政府信息公开工作年度报告格式》（国办公开办函〔2021〕30号）和省、市、区有关工作要求，由枣庄高新区综合执法局编制。全文包括2024年政府信息公开总体情况，主动公开政府信息情况，收到和处理政府信息公开申请情况，政府信息公开行政复议、行政诉讼情况，存在的主要问题及改进情况，其他需要报告的事项等6个部分。本年度报告所列数据的统计时限自2024年1月1日至2024年12月31日。本报告全文将在枣庄高新区官网（http://www.zzctp.gov.cn/）“政府信息公开年度报告”专栏公布。如对本报告有疑问，请与枣庄高新区综合执法局联系（联系电话:0632-8694666，电子邮箱:zzgxqcjjc@163.com）。</w:t>
      </w:r>
    </w:p>
    <w:p w14:paraId="6AFA902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黑体" w:hAnsi="黑体" w:eastAsia="黑体" w:cs="黑体"/>
          <w:lang w:val="en-US" w:eastAsia="zh-CN"/>
        </w:rPr>
        <w:t>一、总体情况</w:t>
      </w:r>
    </w:p>
    <w:p w14:paraId="23285F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eastAsia="zh-CN"/>
        </w:rPr>
        <w:t>202</w:t>
      </w:r>
      <w:r>
        <w:rPr>
          <w:rFonts w:hint="eastAsia" w:cs="仿宋_GB2312"/>
          <w:sz w:val="32"/>
          <w:szCs w:val="32"/>
          <w:lang w:val="en-US" w:eastAsia="zh-CN"/>
        </w:rPr>
        <w:t>4</w:t>
      </w:r>
      <w:r>
        <w:rPr>
          <w:rFonts w:hint="eastAsia" w:ascii="仿宋_GB2312" w:hAnsi="仿宋_GB2312" w:eastAsia="仿宋_GB2312" w:cs="仿宋_GB2312"/>
          <w:sz w:val="32"/>
          <w:szCs w:val="32"/>
          <w:lang w:eastAsia="zh-CN"/>
        </w:rPr>
        <w:t>年，枣庄高新区综合执法局认真贯彻落实中央、省</w:t>
      </w:r>
      <w:r>
        <w:rPr>
          <w:rFonts w:hint="eastAsia" w:cs="仿宋_GB2312"/>
          <w:sz w:val="32"/>
          <w:szCs w:val="32"/>
          <w:lang w:eastAsia="zh-CN"/>
        </w:rPr>
        <w:t>、</w:t>
      </w:r>
      <w:r>
        <w:rPr>
          <w:rFonts w:hint="eastAsia" w:ascii="仿宋_GB2312" w:hAnsi="仿宋_GB2312" w:eastAsia="仿宋_GB2312" w:cs="仿宋_GB2312"/>
          <w:sz w:val="32"/>
          <w:szCs w:val="32"/>
          <w:lang w:eastAsia="zh-CN"/>
        </w:rPr>
        <w:t>市</w:t>
      </w:r>
      <w:r>
        <w:rPr>
          <w:rFonts w:hint="eastAsia" w:cs="仿宋_GB2312"/>
          <w:sz w:val="32"/>
          <w:szCs w:val="32"/>
          <w:lang w:eastAsia="zh-CN"/>
        </w:rPr>
        <w:t>、</w:t>
      </w:r>
      <w:r>
        <w:rPr>
          <w:rFonts w:hint="eastAsia" w:cs="仿宋_GB2312"/>
          <w:sz w:val="32"/>
          <w:szCs w:val="32"/>
          <w:lang w:val="en-US" w:eastAsia="zh-CN"/>
        </w:rPr>
        <w:t>区</w:t>
      </w:r>
      <w:r>
        <w:rPr>
          <w:rFonts w:hint="eastAsia" w:ascii="仿宋_GB2312" w:hAnsi="仿宋_GB2312" w:eastAsia="仿宋_GB2312" w:cs="仿宋_GB2312"/>
          <w:sz w:val="32"/>
          <w:szCs w:val="32"/>
          <w:lang w:eastAsia="zh-CN"/>
        </w:rPr>
        <w:t>有关政府信息公开工作的决策部署，</w:t>
      </w:r>
      <w:r>
        <w:rPr>
          <w:rFonts w:hint="eastAsia"/>
          <w:lang w:val="en-US" w:eastAsia="zh-CN"/>
        </w:rPr>
        <w:t>紧紧</w:t>
      </w:r>
      <w:r>
        <w:rPr>
          <w:rFonts w:hint="eastAsia" w:ascii="仿宋_GB2312" w:hAnsi="仿宋_GB2312" w:eastAsia="仿宋_GB2312" w:cs="仿宋_GB2312"/>
          <w:sz w:val="32"/>
          <w:szCs w:val="32"/>
          <w:lang w:eastAsia="zh-CN"/>
        </w:rPr>
        <w:t>围绕</w:t>
      </w:r>
      <w:r>
        <w:rPr>
          <w:rFonts w:hint="eastAsia" w:cs="仿宋_GB2312"/>
          <w:sz w:val="32"/>
          <w:szCs w:val="32"/>
          <w:lang w:val="en-US" w:eastAsia="zh-CN"/>
        </w:rPr>
        <w:t>城市管理和综合执法</w:t>
      </w:r>
      <w:r>
        <w:rPr>
          <w:rFonts w:hint="eastAsia" w:ascii="仿宋_GB2312" w:hAnsi="仿宋_GB2312" w:eastAsia="仿宋_GB2312" w:cs="仿宋_GB2312"/>
          <w:sz w:val="32"/>
          <w:szCs w:val="32"/>
          <w:lang w:eastAsia="zh-CN"/>
        </w:rPr>
        <w:t>中心工作，规范公开内容，及时、准确地向社会公开政府信息，不断提升工作效率和服务水平，推动政府信息公开工作有序开展，依法保障</w:t>
      </w:r>
      <w:r>
        <w:rPr>
          <w:rFonts w:hint="eastAsia" w:cs="仿宋_GB2312"/>
          <w:sz w:val="32"/>
          <w:szCs w:val="32"/>
          <w:lang w:val="en-US" w:eastAsia="zh-CN"/>
        </w:rPr>
        <w:t>人民</w:t>
      </w:r>
      <w:r>
        <w:rPr>
          <w:rFonts w:hint="eastAsia" w:ascii="仿宋_GB2312" w:hAnsi="仿宋_GB2312" w:eastAsia="仿宋_GB2312" w:cs="仿宋_GB2312"/>
          <w:sz w:val="32"/>
          <w:szCs w:val="32"/>
          <w:lang w:eastAsia="zh-CN"/>
        </w:rPr>
        <w:t>群众知情权、参与权和监督权。</w:t>
      </w:r>
    </w:p>
    <w:p w14:paraId="770D7E1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lang w:val="en-US" w:eastAsia="zh-CN"/>
        </w:rPr>
      </w:pPr>
      <w:r>
        <w:rPr>
          <w:rFonts w:hint="eastAsia" w:ascii="楷体_GB2312" w:hAnsi="楷体_GB2312" w:eastAsia="楷体_GB2312" w:cs="楷体_GB2312"/>
          <w:b/>
          <w:bCs/>
          <w:lang w:val="en-US" w:eastAsia="zh-CN"/>
        </w:rPr>
        <w:t>（一）主动公开</w:t>
      </w:r>
    </w:p>
    <w:p w14:paraId="177F133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通过公开网站公开稿件258条，其中包括部门文件及部门文件解读2条，机构职能1条，通知公告26条，部门信息99条，部门会议及部门会议解读24 条，其他政府信息公开目录信息106条。</w:t>
      </w:r>
    </w:p>
    <w:p w14:paraId="3FC6E3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仿宋_GB2312"/>
          <w:lang w:eastAsia="zh-CN"/>
        </w:rPr>
      </w:pPr>
      <w:r>
        <w:rPr>
          <w:rFonts w:hint="eastAsia" w:eastAsia="仿宋_GB2312"/>
          <w:lang w:eastAsia="zh-CN"/>
        </w:rPr>
        <w:object>
          <v:shape id="_x0000_i1025" o:spt="75" type="#_x0000_t75" style="height:232.65pt;width:439.4pt;" o:ole="t" filled="f" o:preferrelative="t" stroked="f" coordsize="21600,21600">
            <v:path/>
            <v:fill on="f" focussize="0,0"/>
            <v:stroke on="f"/>
            <v:imagedata r:id="rId6" o:title=""/>
            <o:lock v:ext="edit" aspectratio="t"/>
            <w10:wrap type="none"/>
            <w10:anchorlock/>
          </v:shape>
          <o:OLEObject Type="Embed" ProgID="Excel.Chart.8" ShapeID="_x0000_i1025" DrawAspect="Content" ObjectID="_1468075725" r:id="rId5">
            <o:LockedField>false</o:LockedField>
          </o:OLEObject>
        </w:object>
      </w:r>
    </w:p>
    <w:p w14:paraId="63331FD8">
      <w:pPr>
        <w:pStyle w:val="7"/>
        <w:ind w:left="0" w:leftChars="0" w:firstLine="0" w:firstLineChars="0"/>
        <w:jc w:val="center"/>
      </w:pPr>
    </w:p>
    <w:p w14:paraId="01107EEA">
      <w:pPr>
        <w:rPr>
          <w:rFonts w:hint="eastAsia" w:eastAsia="仿宋_GB2312"/>
          <w:lang w:val="en-US" w:eastAsia="zh-CN"/>
        </w:rPr>
      </w:pPr>
      <w:r>
        <w:rPr>
          <w:rFonts w:hint="eastAsia" w:eastAsia="仿宋_GB2312"/>
          <w:lang w:val="en-US" w:eastAsia="zh-CN"/>
        </w:rPr>
        <w:drawing>
          <wp:inline distT="0" distB="0" distL="114300" distR="114300">
            <wp:extent cx="5606415" cy="3900170"/>
            <wp:effectExtent l="0" t="0" r="13335" b="5080"/>
            <wp:docPr id="2" name="图片 2" descr="173709809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7098091209"/>
                    <pic:cNvPicPr>
                      <a:picLocks noChangeAspect="1"/>
                    </pic:cNvPicPr>
                  </pic:nvPicPr>
                  <pic:blipFill>
                    <a:blip r:embed="rId7"/>
                    <a:stretch>
                      <a:fillRect/>
                    </a:stretch>
                  </pic:blipFill>
                  <pic:spPr>
                    <a:xfrm>
                      <a:off x="0" y="0"/>
                      <a:ext cx="5606415" cy="3900170"/>
                    </a:xfrm>
                    <a:prstGeom prst="rect">
                      <a:avLst/>
                    </a:prstGeom>
                  </pic:spPr>
                </pic:pic>
              </a:graphicData>
            </a:graphic>
          </wp:inline>
        </w:drawing>
      </w:r>
    </w:p>
    <w:p w14:paraId="145E9FE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lang w:val="en-US" w:eastAsia="zh-CN"/>
        </w:rPr>
      </w:pPr>
      <w:r>
        <w:rPr>
          <w:rFonts w:hint="eastAsia" w:ascii="楷体_GB2312" w:hAnsi="楷体_GB2312" w:eastAsia="楷体_GB2312" w:cs="楷体_GB2312"/>
          <w:b/>
          <w:bCs/>
          <w:lang w:val="en-US" w:eastAsia="zh-CN"/>
        </w:rPr>
        <w:t>（二）依申请公开</w:t>
      </w:r>
    </w:p>
    <w:p w14:paraId="5DF5020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1.认真执行《中华人民共和国政府信息公开条例》，严格规范依申请公开事项办理流程，加强信息依申请公开事项办理标准化规范化建设，我局制定并在网站上公开了《枣庄高新区综合执法局政府信息公开指南》，明确了申请受理机构、提出申请方式、申请处理方式、办理期限、申请注意事项等要求。2024年未收到相关信息公开的申请，申请数量较2023年无变化。</w:t>
      </w:r>
    </w:p>
    <w:p w14:paraId="5AFF2D6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64DBC7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2.政府信息公开行政复议、行政诉讼情况。</w:t>
      </w:r>
    </w:p>
    <w:p w14:paraId="05435BF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2024年，因政府信息公开被申请行政复议0件，因公民、法人和其他组织认为行政机关政府信息公开工作具体行政行为侵犯其合法权益，提起行政诉讼0件。</w:t>
      </w:r>
    </w:p>
    <w:p w14:paraId="34FECD1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lang w:val="en-US" w:eastAsia="zh-CN"/>
        </w:rPr>
        <w:t>（三）</w:t>
      </w:r>
      <w:r>
        <w:rPr>
          <w:rFonts w:hint="default" w:ascii="楷体_GB2312" w:hAnsi="楷体_GB2312" w:eastAsia="楷体_GB2312" w:cs="楷体_GB2312"/>
          <w:b/>
          <w:bCs/>
          <w:lang w:val="en-US" w:eastAsia="zh-CN"/>
        </w:rPr>
        <w:t>政府信息管理</w:t>
      </w:r>
    </w:p>
    <w:p w14:paraId="6071474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lang w:val="en-US" w:eastAsia="zh-CN"/>
        </w:rPr>
        <w:t>完善并公开了政府信息主动公开目录，落实政府信息全生命周期管理相关制度和政府信息公开保密审查制度，严格在规定的时间内对变动信息进行依法公开。一是抓好信息公开和栏目更新，严格按照《条例》，紧紧围绕中心工作，坚持信息更新全面真实、及时便民原则，快速准确公开。二是严把信息公开审核关，强化信息发布审核，严格落实“三级审核”机制，加大信息审核力度，确保信息准确真实。三是强化公开内容自查整改，定期开展自查自纠，对发现问题及时整改，确保信息准确、安全。</w:t>
      </w:r>
    </w:p>
    <w:p w14:paraId="7FD7825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lang w:val="en-US" w:eastAsia="zh-CN"/>
        </w:rPr>
        <w:t>（四）政府信息公开</w:t>
      </w:r>
      <w:r>
        <w:rPr>
          <w:rFonts w:hint="default" w:ascii="楷体_GB2312" w:hAnsi="楷体_GB2312" w:eastAsia="楷体_GB2312" w:cs="楷体_GB2312"/>
          <w:b/>
          <w:bCs/>
          <w:lang w:val="en-US" w:eastAsia="zh-CN"/>
        </w:rPr>
        <w:t>平台建设</w:t>
      </w:r>
    </w:p>
    <w:p w14:paraId="53F424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政府信息公开平台主要在枣庄</w:t>
      </w:r>
      <w:r>
        <w:rPr>
          <w:rFonts w:ascii="仿宋_GB2312" w:hAnsi="仿宋_GB2312" w:eastAsia="仿宋_GB2312" w:cs="仿宋_GB2312"/>
          <w:sz w:val="32"/>
          <w:szCs w:val="32"/>
        </w:rPr>
        <w:t>高新区管委会门户网站的“</w:t>
      </w:r>
      <w:r>
        <w:rPr>
          <w:rFonts w:hint="eastAsia" w:cs="仿宋_GB2312"/>
          <w:sz w:val="32"/>
          <w:szCs w:val="32"/>
          <w:lang w:val="en-US" w:eastAsia="zh-CN"/>
        </w:rPr>
        <w:t>政府</w:t>
      </w:r>
      <w:r>
        <w:rPr>
          <w:rFonts w:ascii="仿宋_GB2312" w:hAnsi="仿宋_GB2312" w:eastAsia="仿宋_GB2312" w:cs="仿宋_GB2312"/>
          <w:sz w:val="32"/>
          <w:szCs w:val="32"/>
        </w:rPr>
        <w:t>信息公开”专栏</w:t>
      </w:r>
      <w:r>
        <w:rPr>
          <w:rFonts w:hint="eastAsia" w:cs="仿宋_GB2312"/>
          <w:sz w:val="32"/>
          <w:szCs w:val="32"/>
          <w:lang w:eastAsia="zh-CN"/>
        </w:rPr>
        <w:t>，</w:t>
      </w:r>
      <w:r>
        <w:rPr>
          <w:rFonts w:hint="default"/>
          <w:lang w:val="en-US" w:eastAsia="zh-CN"/>
        </w:rPr>
        <w:t>共</w:t>
      </w:r>
      <w:r>
        <w:rPr>
          <w:rFonts w:hint="eastAsia"/>
          <w:lang w:val="en-US" w:eastAsia="zh-CN"/>
        </w:rPr>
        <w:t>包括政策文件与解读</w:t>
      </w:r>
      <w:r>
        <w:rPr>
          <w:rFonts w:hint="default"/>
          <w:lang w:val="en-US" w:eastAsia="zh-CN"/>
        </w:rPr>
        <w:t>、机构职能、通知公告、部门信息、会议公开、规划计划、行政权力运行公开、重点领域信息公开、主动公开基本目录、制度建设、政民互动、政策问答</w:t>
      </w:r>
      <w:r>
        <w:rPr>
          <w:rFonts w:hint="eastAsia"/>
          <w:lang w:val="en-US" w:eastAsia="zh-CN"/>
        </w:rPr>
        <w:t>、政府信息公开指南、政府信息公开年报等</w:t>
      </w:r>
      <w:r>
        <w:rPr>
          <w:rFonts w:hint="default"/>
          <w:lang w:val="en-US" w:eastAsia="zh-CN"/>
        </w:rPr>
        <w:t>栏目</w:t>
      </w:r>
      <w:r>
        <w:rPr>
          <w:rFonts w:hint="eastAsia"/>
          <w:lang w:val="en-US" w:eastAsia="zh-CN"/>
        </w:rPr>
        <w:t>。</w:t>
      </w:r>
    </w:p>
    <w:p w14:paraId="4919C9B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lang w:val="en-US" w:eastAsia="zh-CN"/>
        </w:rPr>
        <w:t>（五）</w:t>
      </w:r>
      <w:r>
        <w:rPr>
          <w:rFonts w:hint="default" w:ascii="楷体_GB2312" w:hAnsi="楷体_GB2312" w:eastAsia="楷体_GB2312" w:cs="楷体_GB2312"/>
          <w:b/>
          <w:bCs/>
          <w:lang w:val="en-US" w:eastAsia="zh-CN"/>
        </w:rPr>
        <w:t>监督保障</w:t>
      </w:r>
    </w:p>
    <w:p w14:paraId="47B472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高度重视政府信息公开工作，按照《条例》</w:t>
      </w:r>
      <w:r>
        <w:rPr>
          <w:rFonts w:hint="eastAsia" w:cs="仿宋_GB2312"/>
          <w:sz w:val="32"/>
          <w:szCs w:val="32"/>
          <w:lang w:val="en-US" w:eastAsia="zh-CN"/>
        </w:rPr>
        <w:t>要求</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人员职责</w:t>
      </w:r>
      <w:r>
        <w:rPr>
          <w:rFonts w:hint="eastAsia" w:ascii="仿宋_GB2312" w:hAnsi="仿宋_GB2312" w:eastAsia="仿宋_GB2312" w:cs="仿宋_GB2312"/>
          <w:sz w:val="32"/>
          <w:szCs w:val="32"/>
          <w:lang w:val="en-US" w:eastAsia="zh-CN"/>
        </w:rPr>
        <w:t>调整后，</w:t>
      </w:r>
      <w:r>
        <w:rPr>
          <w:rFonts w:hint="eastAsia" w:cs="仿宋_GB2312"/>
          <w:sz w:val="32"/>
          <w:szCs w:val="32"/>
          <w:lang w:val="en-US" w:eastAsia="zh-CN"/>
        </w:rPr>
        <w:t>进行</w:t>
      </w:r>
      <w:r>
        <w:rPr>
          <w:rFonts w:hint="eastAsia" w:ascii="仿宋_GB2312" w:hAnsi="仿宋_GB2312" w:eastAsia="仿宋_GB2312" w:cs="仿宋_GB2312"/>
          <w:sz w:val="32"/>
          <w:szCs w:val="32"/>
        </w:rPr>
        <w:t>了政府信息公开工作领导小组</w:t>
      </w:r>
      <w:r>
        <w:rPr>
          <w:rFonts w:hint="eastAsia" w:cs="仿宋_GB2312"/>
          <w:sz w:val="32"/>
          <w:szCs w:val="32"/>
          <w:lang w:val="en-US" w:eastAsia="zh-CN"/>
        </w:rPr>
        <w:t>人员调整，明确</w:t>
      </w:r>
      <w:r>
        <w:rPr>
          <w:rFonts w:hint="eastAsia" w:ascii="仿宋_GB2312" w:hAnsi="仿宋_GB2312" w:eastAsia="仿宋_GB2312" w:cs="仿宋_GB2312"/>
          <w:sz w:val="32"/>
          <w:szCs w:val="32"/>
        </w:rPr>
        <w:t>政府信息公开工作</w:t>
      </w:r>
      <w:r>
        <w:rPr>
          <w:rFonts w:hint="eastAsia" w:cs="仿宋_GB2312"/>
          <w:sz w:val="32"/>
          <w:szCs w:val="32"/>
          <w:lang w:val="en-US" w:eastAsia="zh-CN"/>
        </w:rPr>
        <w:t>的主要负责人、分管领导、具体工作人员，安排专人负责</w:t>
      </w:r>
      <w:r>
        <w:rPr>
          <w:rFonts w:hint="eastAsia" w:ascii="仿宋_GB2312" w:hAnsi="仿宋_GB2312" w:eastAsia="仿宋_GB2312" w:cs="仿宋_GB2312"/>
          <w:sz w:val="32"/>
          <w:szCs w:val="32"/>
        </w:rPr>
        <w:t>政府信息公开</w:t>
      </w:r>
      <w:r>
        <w:rPr>
          <w:rFonts w:hint="eastAsia" w:cs="仿宋_GB2312"/>
          <w:sz w:val="32"/>
          <w:szCs w:val="32"/>
          <w:lang w:val="en-US" w:eastAsia="zh-CN"/>
        </w:rPr>
        <w:t>的组织、协调、监督，开展</w:t>
      </w:r>
      <w:r>
        <w:rPr>
          <w:rFonts w:hint="eastAsia" w:ascii="仿宋_GB2312" w:hAnsi="仿宋_GB2312" w:eastAsia="仿宋_GB2312" w:cs="仿宋_GB2312"/>
          <w:sz w:val="32"/>
          <w:szCs w:val="32"/>
        </w:rPr>
        <w:t>政府信息公开工作</w:t>
      </w:r>
      <w:r>
        <w:rPr>
          <w:rFonts w:hint="eastAsia" w:cs="仿宋_GB2312"/>
          <w:sz w:val="32"/>
          <w:szCs w:val="32"/>
          <w:lang w:val="en-US" w:eastAsia="zh-CN"/>
        </w:rPr>
        <w:t>人员培训，从上到下压实责任，确保</w:t>
      </w:r>
      <w:r>
        <w:rPr>
          <w:rFonts w:hint="eastAsia" w:ascii="仿宋_GB2312" w:hAnsi="仿宋_GB2312" w:eastAsia="仿宋_GB2312" w:cs="仿宋_GB2312"/>
          <w:sz w:val="32"/>
          <w:szCs w:val="32"/>
        </w:rPr>
        <w:t>信息公开</w:t>
      </w:r>
      <w:r>
        <w:rPr>
          <w:rFonts w:hint="eastAsia" w:cs="仿宋_GB2312"/>
          <w:sz w:val="32"/>
          <w:szCs w:val="32"/>
          <w:lang w:val="en-US" w:eastAsia="zh-CN"/>
        </w:rPr>
        <w:t>依法、及时、准确和合理</w:t>
      </w:r>
      <w:r>
        <w:rPr>
          <w:rFonts w:hint="eastAsia" w:ascii="仿宋_GB2312" w:hAnsi="仿宋_GB2312" w:eastAsia="仿宋_GB2312" w:cs="仿宋_GB2312"/>
          <w:sz w:val="32"/>
          <w:szCs w:val="32"/>
          <w:lang w:eastAsia="zh-CN"/>
        </w:rPr>
        <w:t>。</w:t>
      </w:r>
    </w:p>
    <w:p w14:paraId="495B15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二、主动公开政府信息情况</w:t>
      </w:r>
    </w:p>
    <w:tbl>
      <w:tblPr>
        <w:tblStyle w:val="8"/>
        <w:tblW w:w="9254" w:type="dxa"/>
        <w:tblInd w:w="-90" w:type="dxa"/>
        <w:tblLayout w:type="fixed"/>
        <w:tblCellMar>
          <w:top w:w="0" w:type="dxa"/>
          <w:left w:w="108" w:type="dxa"/>
          <w:bottom w:w="0" w:type="dxa"/>
          <w:right w:w="108" w:type="dxa"/>
        </w:tblCellMar>
      </w:tblPr>
      <w:tblGrid>
        <w:gridCol w:w="2296"/>
        <w:gridCol w:w="2405"/>
        <w:gridCol w:w="2244"/>
        <w:gridCol w:w="2309"/>
      </w:tblGrid>
      <w:tr w14:paraId="47E51C3C">
        <w:tblPrEx>
          <w:tblCellMar>
            <w:top w:w="0" w:type="dxa"/>
            <w:left w:w="108" w:type="dxa"/>
            <w:bottom w:w="0" w:type="dxa"/>
            <w:right w:w="108" w:type="dxa"/>
          </w:tblCellMar>
        </w:tblPrEx>
        <w:trPr>
          <w:trHeight w:val="567" w:hRule="atLeast"/>
        </w:trPr>
        <w:tc>
          <w:tcPr>
            <w:tcW w:w="925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DD2B686">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第二十条第（一）项</w:t>
            </w:r>
          </w:p>
        </w:tc>
      </w:tr>
      <w:tr w14:paraId="7ACC118E">
        <w:tblPrEx>
          <w:tblCellMar>
            <w:top w:w="0" w:type="dxa"/>
            <w:left w:w="108" w:type="dxa"/>
            <w:bottom w:w="0" w:type="dxa"/>
            <w:right w:w="108" w:type="dxa"/>
          </w:tblCellMar>
        </w:tblPrEx>
        <w:trPr>
          <w:trHeight w:val="567" w:hRule="atLeast"/>
        </w:trPr>
        <w:tc>
          <w:tcPr>
            <w:tcW w:w="2296" w:type="dxa"/>
            <w:tcBorders>
              <w:top w:val="nil"/>
              <w:left w:val="single" w:color="auto" w:sz="8" w:space="0"/>
              <w:bottom w:val="single" w:color="auto" w:sz="8" w:space="0"/>
              <w:right w:val="single" w:color="auto" w:sz="8" w:space="0"/>
            </w:tcBorders>
            <w:noWrap w:val="0"/>
            <w:vAlign w:val="center"/>
          </w:tcPr>
          <w:p w14:paraId="037413E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信息内容</w:t>
            </w:r>
          </w:p>
        </w:tc>
        <w:tc>
          <w:tcPr>
            <w:tcW w:w="2405" w:type="dxa"/>
            <w:tcBorders>
              <w:top w:val="nil"/>
              <w:left w:val="nil"/>
              <w:bottom w:val="single" w:color="auto" w:sz="8" w:space="0"/>
              <w:right w:val="single" w:color="auto" w:sz="8" w:space="0"/>
            </w:tcBorders>
            <w:noWrap w:val="0"/>
            <w:vAlign w:val="center"/>
          </w:tcPr>
          <w:p w14:paraId="4AB7977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本年制发件数</w:t>
            </w:r>
          </w:p>
        </w:tc>
        <w:tc>
          <w:tcPr>
            <w:tcW w:w="2244" w:type="dxa"/>
            <w:tcBorders>
              <w:top w:val="nil"/>
              <w:left w:val="nil"/>
              <w:bottom w:val="single" w:color="auto" w:sz="8" w:space="0"/>
              <w:right w:val="single" w:color="auto" w:sz="8" w:space="0"/>
            </w:tcBorders>
            <w:noWrap w:val="0"/>
            <w:vAlign w:val="center"/>
          </w:tcPr>
          <w:p w14:paraId="75838A7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本年废止件数</w:t>
            </w:r>
          </w:p>
        </w:tc>
        <w:tc>
          <w:tcPr>
            <w:tcW w:w="2309" w:type="dxa"/>
            <w:tcBorders>
              <w:top w:val="nil"/>
              <w:left w:val="nil"/>
              <w:bottom w:val="single" w:color="auto" w:sz="8" w:space="0"/>
              <w:right w:val="single" w:color="auto" w:sz="8" w:space="0"/>
            </w:tcBorders>
            <w:noWrap w:val="0"/>
            <w:vAlign w:val="center"/>
          </w:tcPr>
          <w:p w14:paraId="72B40CA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现行有效件数</w:t>
            </w:r>
          </w:p>
        </w:tc>
      </w:tr>
      <w:tr w14:paraId="5377D7F1">
        <w:tblPrEx>
          <w:tblCellMar>
            <w:top w:w="0" w:type="dxa"/>
            <w:left w:w="108" w:type="dxa"/>
            <w:bottom w:w="0" w:type="dxa"/>
            <w:right w:w="108" w:type="dxa"/>
          </w:tblCellMar>
        </w:tblPrEx>
        <w:trPr>
          <w:trHeight w:val="567" w:hRule="atLeast"/>
        </w:trPr>
        <w:tc>
          <w:tcPr>
            <w:tcW w:w="2296" w:type="dxa"/>
            <w:tcBorders>
              <w:top w:val="nil"/>
              <w:left w:val="single" w:color="auto" w:sz="8" w:space="0"/>
              <w:bottom w:val="single" w:color="auto" w:sz="8" w:space="0"/>
              <w:right w:val="single" w:color="auto" w:sz="8" w:space="0"/>
            </w:tcBorders>
            <w:noWrap w:val="0"/>
            <w:vAlign w:val="center"/>
          </w:tcPr>
          <w:p w14:paraId="5CABAD9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规章</w:t>
            </w:r>
          </w:p>
        </w:tc>
        <w:tc>
          <w:tcPr>
            <w:tcW w:w="2405" w:type="dxa"/>
            <w:tcBorders>
              <w:top w:val="nil"/>
              <w:left w:val="nil"/>
              <w:bottom w:val="single" w:color="auto" w:sz="8" w:space="0"/>
              <w:right w:val="single" w:color="auto" w:sz="8" w:space="0"/>
            </w:tcBorders>
            <w:noWrap w:val="0"/>
            <w:vAlign w:val="center"/>
          </w:tcPr>
          <w:p w14:paraId="2DA67CBE">
            <w:pPr>
              <w:widowControl/>
              <w:jc w:val="center"/>
              <w:rPr>
                <w:rFonts w:hint="eastAsia" w:ascii="仿宋_GB2312" w:hAnsi="宋体" w:eastAsia="仿宋_GB2312" w:cs="宋体"/>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w:t>
            </w:r>
          </w:p>
        </w:tc>
        <w:tc>
          <w:tcPr>
            <w:tcW w:w="2244" w:type="dxa"/>
            <w:tcBorders>
              <w:top w:val="nil"/>
              <w:left w:val="nil"/>
              <w:bottom w:val="single" w:color="auto" w:sz="8" w:space="0"/>
              <w:right w:val="single" w:color="auto" w:sz="8" w:space="0"/>
            </w:tcBorders>
            <w:noWrap w:val="0"/>
            <w:vAlign w:val="center"/>
          </w:tcPr>
          <w:p w14:paraId="780D9F63">
            <w:pPr>
              <w:widowControl/>
              <w:jc w:val="center"/>
              <w:rPr>
                <w:rFonts w:hint="eastAsia" w:ascii="仿宋_GB2312" w:hAnsi="宋体" w:eastAsia="仿宋_GB2312" w:cs="宋体"/>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w:t>
            </w:r>
          </w:p>
        </w:tc>
        <w:tc>
          <w:tcPr>
            <w:tcW w:w="2309" w:type="dxa"/>
            <w:tcBorders>
              <w:top w:val="nil"/>
              <w:left w:val="nil"/>
              <w:bottom w:val="single" w:color="auto" w:sz="8" w:space="0"/>
              <w:right w:val="single" w:color="auto" w:sz="8" w:space="0"/>
            </w:tcBorders>
            <w:noWrap w:val="0"/>
            <w:vAlign w:val="center"/>
          </w:tcPr>
          <w:p w14:paraId="1519D257">
            <w:pPr>
              <w:widowControl/>
              <w:jc w:val="center"/>
              <w:rPr>
                <w:rFonts w:hint="eastAsia" w:ascii="仿宋_GB2312" w:hAnsi="Calibri" w:eastAsia="仿宋_GB2312" w:cs="Calibri"/>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w:t>
            </w:r>
          </w:p>
        </w:tc>
      </w:tr>
      <w:tr w14:paraId="31086049">
        <w:tblPrEx>
          <w:tblCellMar>
            <w:top w:w="0" w:type="dxa"/>
            <w:left w:w="108" w:type="dxa"/>
            <w:bottom w:w="0" w:type="dxa"/>
            <w:right w:w="108" w:type="dxa"/>
          </w:tblCellMar>
        </w:tblPrEx>
        <w:trPr>
          <w:trHeight w:val="567" w:hRule="atLeast"/>
        </w:trPr>
        <w:tc>
          <w:tcPr>
            <w:tcW w:w="2296" w:type="dxa"/>
            <w:tcBorders>
              <w:top w:val="nil"/>
              <w:left w:val="single" w:color="auto" w:sz="8" w:space="0"/>
              <w:bottom w:val="single" w:color="auto" w:sz="8" w:space="0"/>
              <w:right w:val="single" w:color="auto" w:sz="8" w:space="0"/>
            </w:tcBorders>
            <w:noWrap w:val="0"/>
            <w:vAlign w:val="center"/>
          </w:tcPr>
          <w:p w14:paraId="4AD27749">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行政规范性文件</w:t>
            </w:r>
          </w:p>
        </w:tc>
        <w:tc>
          <w:tcPr>
            <w:tcW w:w="2405" w:type="dxa"/>
            <w:tcBorders>
              <w:top w:val="nil"/>
              <w:left w:val="nil"/>
              <w:bottom w:val="single" w:color="auto" w:sz="8" w:space="0"/>
              <w:right w:val="single" w:color="auto" w:sz="8" w:space="0"/>
            </w:tcBorders>
            <w:noWrap w:val="0"/>
            <w:vAlign w:val="center"/>
          </w:tcPr>
          <w:p w14:paraId="5600DF6B">
            <w:pPr>
              <w:widowControl/>
              <w:jc w:val="center"/>
              <w:rPr>
                <w:rFonts w:hint="eastAsia" w:ascii="仿宋_GB2312" w:hAnsi="宋体" w:eastAsia="仿宋_GB2312" w:cs="宋体"/>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w:t>
            </w:r>
          </w:p>
        </w:tc>
        <w:tc>
          <w:tcPr>
            <w:tcW w:w="2244" w:type="dxa"/>
            <w:tcBorders>
              <w:top w:val="nil"/>
              <w:left w:val="nil"/>
              <w:bottom w:val="single" w:color="auto" w:sz="8" w:space="0"/>
              <w:right w:val="single" w:color="auto" w:sz="8" w:space="0"/>
            </w:tcBorders>
            <w:noWrap w:val="0"/>
            <w:vAlign w:val="center"/>
          </w:tcPr>
          <w:p w14:paraId="6D67B635">
            <w:pPr>
              <w:widowControl/>
              <w:jc w:val="center"/>
              <w:rPr>
                <w:rFonts w:hint="eastAsia" w:ascii="仿宋_GB2312" w:hAnsi="宋体" w:eastAsia="仿宋_GB2312" w:cs="宋体"/>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w:t>
            </w:r>
          </w:p>
        </w:tc>
        <w:tc>
          <w:tcPr>
            <w:tcW w:w="2309" w:type="dxa"/>
            <w:tcBorders>
              <w:top w:val="nil"/>
              <w:left w:val="nil"/>
              <w:bottom w:val="single" w:color="auto" w:sz="8" w:space="0"/>
              <w:right w:val="single" w:color="auto" w:sz="8" w:space="0"/>
            </w:tcBorders>
            <w:noWrap w:val="0"/>
            <w:vAlign w:val="center"/>
          </w:tcPr>
          <w:p w14:paraId="13464081">
            <w:pPr>
              <w:widowControl/>
              <w:jc w:val="center"/>
              <w:rPr>
                <w:rFonts w:hint="eastAsia" w:ascii="仿宋_GB2312" w:hAnsi="Calibri" w:eastAsia="仿宋_GB2312" w:cs="Calibri"/>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w:t>
            </w:r>
          </w:p>
        </w:tc>
      </w:tr>
      <w:tr w14:paraId="4D7F2E7C">
        <w:tblPrEx>
          <w:tblCellMar>
            <w:top w:w="0" w:type="dxa"/>
            <w:left w:w="108" w:type="dxa"/>
            <w:bottom w:w="0" w:type="dxa"/>
            <w:right w:w="108" w:type="dxa"/>
          </w:tblCellMar>
        </w:tblPrEx>
        <w:trPr>
          <w:trHeight w:val="567" w:hRule="atLeast"/>
        </w:trPr>
        <w:tc>
          <w:tcPr>
            <w:tcW w:w="925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A4841AB">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第二十条第（五）项</w:t>
            </w:r>
          </w:p>
        </w:tc>
      </w:tr>
      <w:tr w14:paraId="00A22ED0">
        <w:tblPrEx>
          <w:tblCellMar>
            <w:top w:w="0" w:type="dxa"/>
            <w:left w:w="108" w:type="dxa"/>
            <w:bottom w:w="0" w:type="dxa"/>
            <w:right w:w="108" w:type="dxa"/>
          </w:tblCellMar>
        </w:tblPrEx>
        <w:trPr>
          <w:trHeight w:val="567" w:hRule="atLeast"/>
        </w:trPr>
        <w:tc>
          <w:tcPr>
            <w:tcW w:w="2296" w:type="dxa"/>
            <w:tcBorders>
              <w:top w:val="nil"/>
              <w:left w:val="single" w:color="auto" w:sz="8" w:space="0"/>
              <w:bottom w:val="single" w:color="auto" w:sz="8" w:space="0"/>
              <w:right w:val="single" w:color="auto" w:sz="8" w:space="0"/>
            </w:tcBorders>
            <w:noWrap w:val="0"/>
            <w:vAlign w:val="center"/>
          </w:tcPr>
          <w:p w14:paraId="6D4F22FE">
            <w:pPr>
              <w:widowControl/>
              <w:jc w:val="center"/>
              <w:rPr>
                <w:rFonts w:ascii="仿宋_GB2312" w:hAnsi="宋体" w:eastAsia="仿宋_GB2312" w:cs="宋体"/>
                <w:color w:val="000000"/>
                <w:kern w:val="0"/>
                <w:sz w:val="24"/>
                <w:szCs w:val="24"/>
              </w:rPr>
            </w:pPr>
          </w:p>
          <w:p w14:paraId="43215CC7">
            <w:pPr>
              <w:widowControl/>
              <w:jc w:val="center"/>
              <w:rPr>
                <w:rFonts w:ascii="仿宋_GB2312" w:hAnsi="宋体" w:eastAsia="仿宋_GB2312" w:cs="宋体"/>
                <w:color w:val="000000"/>
                <w:kern w:val="0"/>
                <w:sz w:val="24"/>
                <w:szCs w:val="24"/>
              </w:rPr>
            </w:pPr>
          </w:p>
        </w:tc>
        <w:tc>
          <w:tcPr>
            <w:tcW w:w="6958" w:type="dxa"/>
            <w:gridSpan w:val="3"/>
            <w:tcBorders>
              <w:top w:val="single" w:color="auto" w:sz="8" w:space="0"/>
              <w:left w:val="nil"/>
              <w:bottom w:val="single" w:color="auto" w:sz="8" w:space="0"/>
              <w:right w:val="single" w:color="000000" w:sz="8" w:space="0"/>
            </w:tcBorders>
            <w:noWrap w:val="0"/>
            <w:vAlign w:val="center"/>
          </w:tcPr>
          <w:p w14:paraId="13F46AC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本年处理决定数量</w:t>
            </w:r>
          </w:p>
        </w:tc>
      </w:tr>
      <w:tr w14:paraId="5290E138">
        <w:tblPrEx>
          <w:tblCellMar>
            <w:top w:w="0" w:type="dxa"/>
            <w:left w:w="108" w:type="dxa"/>
            <w:bottom w:w="0" w:type="dxa"/>
            <w:right w:w="108" w:type="dxa"/>
          </w:tblCellMar>
        </w:tblPrEx>
        <w:trPr>
          <w:trHeight w:val="567" w:hRule="atLeast"/>
        </w:trPr>
        <w:tc>
          <w:tcPr>
            <w:tcW w:w="2296" w:type="dxa"/>
            <w:tcBorders>
              <w:top w:val="nil"/>
              <w:left w:val="single" w:color="auto" w:sz="8" w:space="0"/>
              <w:bottom w:val="single" w:color="auto" w:sz="8" w:space="0"/>
              <w:right w:val="single" w:color="auto" w:sz="8" w:space="0"/>
            </w:tcBorders>
            <w:noWrap w:val="0"/>
            <w:vAlign w:val="center"/>
          </w:tcPr>
          <w:p w14:paraId="3EFE38F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行政许可</w:t>
            </w:r>
          </w:p>
        </w:tc>
        <w:tc>
          <w:tcPr>
            <w:tcW w:w="6958" w:type="dxa"/>
            <w:gridSpan w:val="3"/>
            <w:tcBorders>
              <w:top w:val="single" w:color="auto" w:sz="8" w:space="0"/>
              <w:left w:val="nil"/>
              <w:bottom w:val="single" w:color="auto" w:sz="8" w:space="0"/>
              <w:right w:val="single" w:color="000000" w:sz="8" w:space="0"/>
            </w:tcBorders>
            <w:noWrap w:val="0"/>
            <w:vAlign w:val="center"/>
          </w:tcPr>
          <w:p w14:paraId="47377E1F">
            <w:pPr>
              <w:widowControl/>
              <w:jc w:val="center"/>
              <w:rPr>
                <w:rFonts w:hint="eastAsia" w:ascii="仿宋_GB2312" w:hAnsi="Calibri" w:eastAsia="仿宋_GB2312" w:cs="Calibri"/>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w:t>
            </w:r>
          </w:p>
        </w:tc>
      </w:tr>
      <w:tr w14:paraId="7D4EB44E">
        <w:tblPrEx>
          <w:tblCellMar>
            <w:top w:w="0" w:type="dxa"/>
            <w:left w:w="108" w:type="dxa"/>
            <w:bottom w:w="0" w:type="dxa"/>
            <w:right w:w="108" w:type="dxa"/>
          </w:tblCellMar>
        </w:tblPrEx>
        <w:trPr>
          <w:trHeight w:val="567" w:hRule="atLeast"/>
        </w:trPr>
        <w:tc>
          <w:tcPr>
            <w:tcW w:w="9254" w:type="dxa"/>
            <w:gridSpan w:val="4"/>
            <w:tcBorders>
              <w:top w:val="single" w:color="auto" w:sz="8" w:space="0"/>
              <w:left w:val="single" w:color="auto" w:sz="8" w:space="0"/>
              <w:bottom w:val="single" w:color="auto" w:sz="4" w:space="0"/>
              <w:right w:val="single" w:color="000000" w:sz="8" w:space="0"/>
            </w:tcBorders>
            <w:shd w:val="clear" w:color="000000" w:fill="C6D9F1"/>
            <w:noWrap w:val="0"/>
            <w:vAlign w:val="center"/>
          </w:tcPr>
          <w:p w14:paraId="32940691">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第二十条第（六）项</w:t>
            </w:r>
          </w:p>
        </w:tc>
      </w:tr>
      <w:tr w14:paraId="2197085D">
        <w:tblPrEx>
          <w:tblCellMar>
            <w:top w:w="0" w:type="dxa"/>
            <w:left w:w="108" w:type="dxa"/>
            <w:bottom w:w="0" w:type="dxa"/>
            <w:right w:w="108" w:type="dxa"/>
          </w:tblCellMar>
        </w:tblPrEx>
        <w:trPr>
          <w:trHeight w:val="772" w:hRule="atLeast"/>
        </w:trPr>
        <w:tc>
          <w:tcPr>
            <w:tcW w:w="2296" w:type="dxa"/>
            <w:tcBorders>
              <w:top w:val="single" w:color="auto" w:sz="4" w:space="0"/>
              <w:left w:val="single" w:color="auto" w:sz="4" w:space="0"/>
              <w:bottom w:val="single" w:color="auto" w:sz="4" w:space="0"/>
              <w:right w:val="single" w:color="auto" w:sz="8" w:space="0"/>
            </w:tcBorders>
            <w:noWrap w:val="0"/>
            <w:vAlign w:val="center"/>
          </w:tcPr>
          <w:p w14:paraId="0FDB630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信息内容</w:t>
            </w:r>
          </w:p>
        </w:tc>
        <w:tc>
          <w:tcPr>
            <w:tcW w:w="6958" w:type="dxa"/>
            <w:gridSpan w:val="3"/>
            <w:tcBorders>
              <w:top w:val="single" w:color="auto" w:sz="4" w:space="0"/>
              <w:left w:val="nil"/>
              <w:bottom w:val="single" w:color="auto" w:sz="4" w:space="0"/>
              <w:right w:val="single" w:color="auto" w:sz="4" w:space="0"/>
            </w:tcBorders>
            <w:noWrap w:val="0"/>
            <w:vAlign w:val="center"/>
          </w:tcPr>
          <w:p w14:paraId="4E2BA64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本年处理决定数量</w:t>
            </w:r>
          </w:p>
        </w:tc>
      </w:tr>
      <w:tr w14:paraId="7EC2A7B9">
        <w:tblPrEx>
          <w:tblCellMar>
            <w:top w:w="0" w:type="dxa"/>
            <w:left w:w="108" w:type="dxa"/>
            <w:bottom w:w="0" w:type="dxa"/>
            <w:right w:w="108" w:type="dxa"/>
          </w:tblCellMar>
        </w:tblPrEx>
        <w:trPr>
          <w:trHeight w:val="567" w:hRule="atLeast"/>
        </w:trPr>
        <w:tc>
          <w:tcPr>
            <w:tcW w:w="2296" w:type="dxa"/>
            <w:tcBorders>
              <w:top w:val="single" w:color="auto" w:sz="4" w:space="0"/>
              <w:left w:val="single" w:color="auto" w:sz="8" w:space="0"/>
              <w:bottom w:val="single" w:color="auto" w:sz="8" w:space="0"/>
              <w:right w:val="single" w:color="auto" w:sz="8" w:space="0"/>
            </w:tcBorders>
            <w:noWrap w:val="0"/>
            <w:vAlign w:val="center"/>
          </w:tcPr>
          <w:p w14:paraId="051E67BF">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行政处罚</w:t>
            </w:r>
          </w:p>
        </w:tc>
        <w:tc>
          <w:tcPr>
            <w:tcW w:w="6958" w:type="dxa"/>
            <w:gridSpan w:val="3"/>
            <w:tcBorders>
              <w:top w:val="single" w:color="auto" w:sz="4" w:space="0"/>
              <w:left w:val="nil"/>
              <w:bottom w:val="single" w:color="auto" w:sz="8" w:space="0"/>
              <w:right w:val="single" w:color="000000" w:sz="8" w:space="0"/>
            </w:tcBorders>
            <w:noWrap w:val="0"/>
            <w:vAlign w:val="center"/>
          </w:tcPr>
          <w:p w14:paraId="50BBBE71">
            <w:pPr>
              <w:widowControl/>
              <w:jc w:val="center"/>
              <w:rPr>
                <w:rFonts w:hint="default" w:ascii="仿宋_GB2312" w:hAnsi="宋体" w:eastAsia="仿宋_GB2312" w:cs="宋体"/>
                <w:color w:val="000000"/>
                <w:kern w:val="0"/>
                <w:sz w:val="24"/>
                <w:szCs w:val="24"/>
                <w:lang w:val="en-US" w:eastAsia="zh-CN"/>
              </w:rPr>
            </w:pPr>
            <w:r>
              <w:rPr>
                <w:rFonts w:hint="eastAsia" w:ascii="Times New Roman" w:hAnsi="Times New Roman" w:cs="Times New Roman"/>
                <w:color w:val="000000"/>
                <w:kern w:val="0"/>
                <w:sz w:val="24"/>
                <w:szCs w:val="24"/>
                <w:lang w:val="en-US" w:eastAsia="zh-CN"/>
              </w:rPr>
              <w:t>82</w:t>
            </w:r>
          </w:p>
        </w:tc>
      </w:tr>
      <w:tr w14:paraId="0B462409">
        <w:tblPrEx>
          <w:tblCellMar>
            <w:top w:w="0" w:type="dxa"/>
            <w:left w:w="108" w:type="dxa"/>
            <w:bottom w:w="0" w:type="dxa"/>
            <w:right w:w="108" w:type="dxa"/>
          </w:tblCellMar>
        </w:tblPrEx>
        <w:trPr>
          <w:trHeight w:val="686" w:hRule="atLeast"/>
        </w:trPr>
        <w:tc>
          <w:tcPr>
            <w:tcW w:w="2296" w:type="dxa"/>
            <w:tcBorders>
              <w:top w:val="nil"/>
              <w:left w:val="single" w:color="auto" w:sz="8" w:space="0"/>
              <w:bottom w:val="single" w:color="auto" w:sz="8" w:space="0"/>
              <w:right w:val="single" w:color="auto" w:sz="8" w:space="0"/>
            </w:tcBorders>
            <w:noWrap w:val="0"/>
            <w:vAlign w:val="center"/>
          </w:tcPr>
          <w:p w14:paraId="7C1B78D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行政强制</w:t>
            </w:r>
          </w:p>
        </w:tc>
        <w:tc>
          <w:tcPr>
            <w:tcW w:w="6958" w:type="dxa"/>
            <w:gridSpan w:val="3"/>
            <w:tcBorders>
              <w:top w:val="single" w:color="auto" w:sz="8" w:space="0"/>
              <w:left w:val="nil"/>
              <w:bottom w:val="single" w:color="auto" w:sz="8" w:space="0"/>
              <w:right w:val="single" w:color="000000" w:sz="8" w:space="0"/>
            </w:tcBorders>
            <w:noWrap w:val="0"/>
            <w:vAlign w:val="center"/>
          </w:tcPr>
          <w:p w14:paraId="796F03F8">
            <w:pPr>
              <w:widowControl/>
              <w:jc w:val="center"/>
              <w:rPr>
                <w:rFonts w:hint="default" w:ascii="仿宋_GB2312" w:hAnsi="宋体" w:eastAsia="仿宋_GB2312" w:cs="宋体"/>
                <w:color w:val="000000"/>
                <w:kern w:val="0"/>
                <w:sz w:val="24"/>
                <w:szCs w:val="24"/>
                <w:lang w:val="en-US" w:eastAsia="zh-CN"/>
              </w:rPr>
            </w:pPr>
            <w:r>
              <w:rPr>
                <w:rFonts w:hint="eastAsia" w:ascii="Times New Roman" w:hAnsi="Times New Roman" w:cs="Times New Roman"/>
                <w:color w:val="000000"/>
                <w:kern w:val="0"/>
                <w:sz w:val="24"/>
                <w:szCs w:val="24"/>
                <w:lang w:val="en-US" w:eastAsia="zh-CN"/>
              </w:rPr>
              <w:t>3</w:t>
            </w:r>
          </w:p>
        </w:tc>
      </w:tr>
      <w:tr w14:paraId="137C45AE">
        <w:tblPrEx>
          <w:tblCellMar>
            <w:top w:w="0" w:type="dxa"/>
            <w:left w:w="108" w:type="dxa"/>
            <w:bottom w:w="0" w:type="dxa"/>
            <w:right w:w="108" w:type="dxa"/>
          </w:tblCellMar>
        </w:tblPrEx>
        <w:trPr>
          <w:trHeight w:val="567" w:hRule="atLeast"/>
        </w:trPr>
        <w:tc>
          <w:tcPr>
            <w:tcW w:w="925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F9C7C28">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第二十条第（八）项</w:t>
            </w:r>
          </w:p>
        </w:tc>
      </w:tr>
      <w:tr w14:paraId="18C3C1A6">
        <w:tblPrEx>
          <w:tblCellMar>
            <w:top w:w="0" w:type="dxa"/>
            <w:left w:w="108" w:type="dxa"/>
            <w:bottom w:w="0" w:type="dxa"/>
            <w:right w:w="108" w:type="dxa"/>
          </w:tblCellMar>
        </w:tblPrEx>
        <w:trPr>
          <w:trHeight w:val="567" w:hRule="atLeast"/>
        </w:trPr>
        <w:tc>
          <w:tcPr>
            <w:tcW w:w="2296" w:type="dxa"/>
            <w:tcBorders>
              <w:top w:val="nil"/>
              <w:left w:val="single" w:color="auto" w:sz="8" w:space="0"/>
              <w:bottom w:val="single" w:color="auto" w:sz="8" w:space="0"/>
              <w:right w:val="single" w:color="auto" w:sz="8" w:space="0"/>
            </w:tcBorders>
            <w:noWrap w:val="0"/>
            <w:vAlign w:val="center"/>
          </w:tcPr>
          <w:p w14:paraId="26B95C0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信息内容</w:t>
            </w:r>
          </w:p>
        </w:tc>
        <w:tc>
          <w:tcPr>
            <w:tcW w:w="6958" w:type="dxa"/>
            <w:gridSpan w:val="3"/>
            <w:tcBorders>
              <w:top w:val="single" w:color="auto" w:sz="8" w:space="0"/>
              <w:left w:val="nil"/>
              <w:bottom w:val="single" w:color="auto" w:sz="8" w:space="0"/>
              <w:right w:val="single" w:color="000000" w:sz="8" w:space="0"/>
            </w:tcBorders>
            <w:noWrap w:val="0"/>
            <w:vAlign w:val="center"/>
          </w:tcPr>
          <w:p w14:paraId="196F3FF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本年收费金额（单位：万元）</w:t>
            </w:r>
          </w:p>
        </w:tc>
      </w:tr>
      <w:tr w14:paraId="6B3A003D">
        <w:tblPrEx>
          <w:tblCellMar>
            <w:top w:w="0" w:type="dxa"/>
            <w:left w:w="108" w:type="dxa"/>
            <w:bottom w:w="0" w:type="dxa"/>
            <w:right w:w="108" w:type="dxa"/>
          </w:tblCellMar>
        </w:tblPrEx>
        <w:trPr>
          <w:trHeight w:val="567" w:hRule="atLeast"/>
        </w:trPr>
        <w:tc>
          <w:tcPr>
            <w:tcW w:w="2296" w:type="dxa"/>
            <w:tcBorders>
              <w:top w:val="nil"/>
              <w:left w:val="single" w:color="auto" w:sz="8" w:space="0"/>
              <w:bottom w:val="single" w:color="auto" w:sz="8" w:space="0"/>
              <w:right w:val="single" w:color="auto" w:sz="8" w:space="0"/>
            </w:tcBorders>
            <w:noWrap w:val="0"/>
            <w:vAlign w:val="center"/>
          </w:tcPr>
          <w:p w14:paraId="4758B7B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行政事业性收费</w:t>
            </w:r>
          </w:p>
        </w:tc>
        <w:tc>
          <w:tcPr>
            <w:tcW w:w="6958" w:type="dxa"/>
            <w:gridSpan w:val="3"/>
            <w:tcBorders>
              <w:top w:val="single" w:color="auto" w:sz="8" w:space="0"/>
              <w:left w:val="nil"/>
              <w:bottom w:val="single" w:color="auto" w:sz="8" w:space="0"/>
              <w:right w:val="single" w:color="000000" w:sz="8" w:space="0"/>
            </w:tcBorders>
            <w:noWrap w:val="0"/>
            <w:vAlign w:val="center"/>
          </w:tcPr>
          <w:p w14:paraId="0CA1AEFC">
            <w:pPr>
              <w:widowControl/>
              <w:jc w:val="center"/>
              <w:rPr>
                <w:rFonts w:hint="eastAsia" w:ascii="仿宋_GB2312" w:hAnsi="Calibri" w:eastAsia="仿宋_GB2312" w:cs="Calibri"/>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0</w:t>
            </w:r>
          </w:p>
        </w:tc>
      </w:tr>
    </w:tbl>
    <w:p w14:paraId="5C04A1AD">
      <w:pPr>
        <w:rPr>
          <w:rFonts w:eastAsia="黑体"/>
          <w:kern w:val="0"/>
          <w:sz w:val="32"/>
          <w:szCs w:val="32"/>
        </w:rPr>
      </w:pPr>
      <w:r>
        <w:rPr>
          <w:rFonts w:eastAsia="黑体"/>
          <w:kern w:val="0"/>
          <w:sz w:val="32"/>
          <w:szCs w:val="32"/>
        </w:rPr>
        <w:br w:type="page"/>
      </w:r>
    </w:p>
    <w:p w14:paraId="7AF59D0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黑体"/>
          <w:kern w:val="0"/>
          <w:sz w:val="32"/>
          <w:szCs w:val="32"/>
        </w:rPr>
      </w:pPr>
      <w:r>
        <w:rPr>
          <w:rFonts w:eastAsia="黑体"/>
          <w:kern w:val="0"/>
          <w:sz w:val="32"/>
          <w:szCs w:val="32"/>
        </w:rPr>
        <w:t>三、收到和处理政府信息公开申请情况</w:t>
      </w:r>
    </w:p>
    <w:tbl>
      <w:tblPr>
        <w:tblStyle w:val="8"/>
        <w:tblW w:w="98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2"/>
        <w:gridCol w:w="1705"/>
        <w:gridCol w:w="3331"/>
        <w:gridCol w:w="617"/>
        <w:gridCol w:w="566"/>
        <w:gridCol w:w="584"/>
        <w:gridCol w:w="750"/>
        <w:gridCol w:w="733"/>
        <w:gridCol w:w="533"/>
        <w:gridCol w:w="608"/>
      </w:tblGrid>
      <w:tr w14:paraId="2E961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478" w:type="dxa"/>
            <w:gridSpan w:val="3"/>
            <w:vMerge w:val="restart"/>
            <w:noWrap w:val="0"/>
            <w:tcMar>
              <w:left w:w="108" w:type="dxa"/>
              <w:right w:w="108" w:type="dxa"/>
            </w:tcMar>
            <w:vAlign w:val="center"/>
          </w:tcPr>
          <w:p w14:paraId="73FF85E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楷体_GB2312" w:hAnsi="黑体" w:eastAsia="楷体_GB2312"/>
                <w:kern w:val="0"/>
                <w:sz w:val="21"/>
                <w:szCs w:val="21"/>
                <w:lang w:eastAsia="zh-CN"/>
              </w:rPr>
            </w:pPr>
            <w:r>
              <w:rPr>
                <w:rFonts w:hint="eastAsia" w:ascii="楷体_GB2312" w:hAnsi="黑体" w:eastAsia="楷体_GB2312"/>
                <w:kern w:val="0"/>
                <w:sz w:val="21"/>
                <w:szCs w:val="21"/>
              </w:rPr>
              <w:t>（本列数据的勾稽关系为：第一项加第二项之和</w:t>
            </w:r>
            <w:r>
              <w:rPr>
                <w:rFonts w:hint="eastAsia" w:ascii="楷体_GB2312" w:hAnsi="黑体" w:eastAsia="楷体_GB2312"/>
                <w:kern w:val="0"/>
                <w:sz w:val="21"/>
                <w:szCs w:val="21"/>
                <w:lang w:eastAsia="zh-CN"/>
              </w:rPr>
              <w:t>，</w:t>
            </w:r>
          </w:p>
          <w:p w14:paraId="6F95460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仿宋_GB2312" w:hAnsi="Times New Roman" w:eastAsia="仿宋_GB2312"/>
                <w:sz w:val="21"/>
                <w:szCs w:val="21"/>
              </w:rPr>
            </w:pPr>
            <w:r>
              <w:rPr>
                <w:rFonts w:hint="eastAsia" w:ascii="楷体_GB2312" w:hAnsi="黑体" w:eastAsia="楷体_GB2312"/>
                <w:kern w:val="0"/>
                <w:sz w:val="21"/>
                <w:szCs w:val="21"/>
              </w:rPr>
              <w:t>等于第三项加第四项之和）</w:t>
            </w:r>
          </w:p>
        </w:tc>
        <w:tc>
          <w:tcPr>
            <w:tcW w:w="4391" w:type="dxa"/>
            <w:gridSpan w:val="7"/>
            <w:noWrap w:val="0"/>
            <w:tcMar>
              <w:left w:w="108" w:type="dxa"/>
              <w:right w:w="108" w:type="dxa"/>
            </w:tcMar>
            <w:vAlign w:val="center"/>
          </w:tcPr>
          <w:p w14:paraId="2F4BCDD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申请人情况</w:t>
            </w:r>
          </w:p>
        </w:tc>
      </w:tr>
      <w:tr w14:paraId="199F6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478" w:type="dxa"/>
            <w:gridSpan w:val="3"/>
            <w:vMerge w:val="continue"/>
            <w:noWrap w:val="0"/>
            <w:tcMar>
              <w:left w:w="108" w:type="dxa"/>
              <w:right w:w="108" w:type="dxa"/>
            </w:tcMar>
            <w:vAlign w:val="center"/>
          </w:tcPr>
          <w:p w14:paraId="7EED87C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仿宋_GB2312" w:hAnsi="Times New Roman" w:eastAsia="仿宋_GB2312"/>
                <w:sz w:val="21"/>
                <w:szCs w:val="21"/>
              </w:rPr>
            </w:pPr>
          </w:p>
        </w:tc>
        <w:tc>
          <w:tcPr>
            <w:tcW w:w="617" w:type="dxa"/>
            <w:vMerge w:val="restart"/>
            <w:noWrap w:val="0"/>
            <w:tcMar>
              <w:left w:w="108" w:type="dxa"/>
              <w:right w:w="108" w:type="dxa"/>
            </w:tcMar>
            <w:vAlign w:val="center"/>
          </w:tcPr>
          <w:p w14:paraId="359C32D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自然人</w:t>
            </w:r>
          </w:p>
        </w:tc>
        <w:tc>
          <w:tcPr>
            <w:tcW w:w="3166" w:type="dxa"/>
            <w:gridSpan w:val="5"/>
            <w:noWrap w:val="0"/>
            <w:tcMar>
              <w:left w:w="108" w:type="dxa"/>
              <w:right w:w="108" w:type="dxa"/>
            </w:tcMar>
            <w:vAlign w:val="center"/>
          </w:tcPr>
          <w:p w14:paraId="1EB8994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法人或其他组织</w:t>
            </w:r>
          </w:p>
        </w:tc>
        <w:tc>
          <w:tcPr>
            <w:tcW w:w="608" w:type="dxa"/>
            <w:vMerge w:val="restart"/>
            <w:noWrap w:val="0"/>
            <w:tcMar>
              <w:left w:w="108" w:type="dxa"/>
              <w:right w:w="108" w:type="dxa"/>
            </w:tcMar>
            <w:vAlign w:val="center"/>
          </w:tcPr>
          <w:p w14:paraId="030285D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总计</w:t>
            </w:r>
          </w:p>
        </w:tc>
      </w:tr>
      <w:tr w14:paraId="51406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478" w:type="dxa"/>
            <w:gridSpan w:val="3"/>
            <w:vMerge w:val="continue"/>
            <w:noWrap w:val="0"/>
            <w:tcMar>
              <w:left w:w="108" w:type="dxa"/>
              <w:right w:w="108" w:type="dxa"/>
            </w:tcMar>
            <w:vAlign w:val="center"/>
          </w:tcPr>
          <w:p w14:paraId="311C4A9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仿宋_GB2312" w:hAnsi="Times New Roman" w:eastAsia="仿宋_GB2312"/>
                <w:sz w:val="21"/>
                <w:szCs w:val="21"/>
              </w:rPr>
            </w:pPr>
          </w:p>
        </w:tc>
        <w:tc>
          <w:tcPr>
            <w:tcW w:w="617" w:type="dxa"/>
            <w:vMerge w:val="continue"/>
            <w:noWrap w:val="0"/>
            <w:tcMar>
              <w:left w:w="108" w:type="dxa"/>
              <w:right w:w="108" w:type="dxa"/>
            </w:tcMar>
            <w:vAlign w:val="center"/>
          </w:tcPr>
          <w:p w14:paraId="2E89E88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p>
        </w:tc>
        <w:tc>
          <w:tcPr>
            <w:tcW w:w="566" w:type="dxa"/>
            <w:noWrap w:val="0"/>
            <w:tcMar>
              <w:left w:w="108" w:type="dxa"/>
              <w:right w:w="108" w:type="dxa"/>
            </w:tcMar>
            <w:vAlign w:val="center"/>
          </w:tcPr>
          <w:p w14:paraId="1BCDFA1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黑体" w:hAnsi="黑体" w:eastAsia="黑体"/>
                <w:kern w:val="0"/>
                <w:sz w:val="21"/>
                <w:szCs w:val="21"/>
              </w:rPr>
            </w:pPr>
            <w:r>
              <w:rPr>
                <w:rFonts w:hint="eastAsia" w:ascii="黑体" w:hAnsi="黑体" w:eastAsia="黑体"/>
                <w:kern w:val="0"/>
                <w:sz w:val="21"/>
                <w:szCs w:val="21"/>
              </w:rPr>
              <w:t>商业</w:t>
            </w:r>
          </w:p>
          <w:p w14:paraId="77F89C4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企业</w:t>
            </w:r>
          </w:p>
        </w:tc>
        <w:tc>
          <w:tcPr>
            <w:tcW w:w="584" w:type="dxa"/>
            <w:noWrap w:val="0"/>
            <w:tcMar>
              <w:left w:w="108" w:type="dxa"/>
              <w:right w:w="108" w:type="dxa"/>
            </w:tcMar>
            <w:vAlign w:val="center"/>
          </w:tcPr>
          <w:p w14:paraId="71D701F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黑体" w:hAnsi="黑体" w:eastAsia="黑体"/>
                <w:kern w:val="0"/>
                <w:sz w:val="21"/>
                <w:szCs w:val="21"/>
              </w:rPr>
            </w:pPr>
            <w:r>
              <w:rPr>
                <w:rFonts w:hint="eastAsia" w:ascii="黑体" w:hAnsi="黑体" w:eastAsia="黑体"/>
                <w:kern w:val="0"/>
                <w:sz w:val="21"/>
                <w:szCs w:val="21"/>
              </w:rPr>
              <w:t>科研</w:t>
            </w:r>
          </w:p>
          <w:p w14:paraId="4B682C1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机构</w:t>
            </w:r>
          </w:p>
        </w:tc>
        <w:tc>
          <w:tcPr>
            <w:tcW w:w="750" w:type="dxa"/>
            <w:noWrap w:val="0"/>
            <w:tcMar>
              <w:left w:w="108" w:type="dxa"/>
              <w:right w:w="108" w:type="dxa"/>
            </w:tcMar>
            <w:vAlign w:val="center"/>
          </w:tcPr>
          <w:p w14:paraId="0164D8A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社会公益组织</w:t>
            </w:r>
          </w:p>
        </w:tc>
        <w:tc>
          <w:tcPr>
            <w:tcW w:w="733" w:type="dxa"/>
            <w:noWrap w:val="0"/>
            <w:tcMar>
              <w:left w:w="108" w:type="dxa"/>
              <w:right w:w="108" w:type="dxa"/>
            </w:tcMar>
            <w:vAlign w:val="center"/>
          </w:tcPr>
          <w:p w14:paraId="0361666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法律服务机构</w:t>
            </w:r>
          </w:p>
        </w:tc>
        <w:tc>
          <w:tcPr>
            <w:tcW w:w="533" w:type="dxa"/>
            <w:noWrap w:val="0"/>
            <w:tcMar>
              <w:left w:w="108" w:type="dxa"/>
              <w:right w:w="108" w:type="dxa"/>
            </w:tcMar>
            <w:vAlign w:val="center"/>
          </w:tcPr>
          <w:p w14:paraId="5170FC4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其他</w:t>
            </w:r>
          </w:p>
        </w:tc>
        <w:tc>
          <w:tcPr>
            <w:tcW w:w="608" w:type="dxa"/>
            <w:vMerge w:val="continue"/>
            <w:noWrap w:val="0"/>
            <w:tcMar>
              <w:left w:w="108" w:type="dxa"/>
              <w:right w:w="108" w:type="dxa"/>
            </w:tcMar>
            <w:vAlign w:val="center"/>
          </w:tcPr>
          <w:p w14:paraId="24A50C0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仿宋_GB2312" w:hAnsi="Times New Roman" w:eastAsia="仿宋_GB2312"/>
                <w:sz w:val="21"/>
                <w:szCs w:val="21"/>
              </w:rPr>
            </w:pPr>
          </w:p>
        </w:tc>
      </w:tr>
      <w:tr w14:paraId="78B37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78" w:type="dxa"/>
            <w:gridSpan w:val="3"/>
            <w:noWrap w:val="0"/>
            <w:tcMar>
              <w:left w:w="108" w:type="dxa"/>
              <w:right w:w="108" w:type="dxa"/>
            </w:tcMar>
            <w:vAlign w:val="center"/>
          </w:tcPr>
          <w:p w14:paraId="7C004EE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一、</w:t>
            </w:r>
            <w:bookmarkStart w:id="0" w:name="_Hlk66973412"/>
            <w:r>
              <w:rPr>
                <w:rFonts w:hint="eastAsia" w:ascii="黑体" w:hAnsi="黑体" w:eastAsia="黑体"/>
                <w:kern w:val="0"/>
                <w:sz w:val="21"/>
                <w:szCs w:val="21"/>
              </w:rPr>
              <w:t>本年新收政府信息公开申请数量</w:t>
            </w:r>
            <w:bookmarkEnd w:id="0"/>
          </w:p>
        </w:tc>
        <w:tc>
          <w:tcPr>
            <w:tcW w:w="617" w:type="dxa"/>
            <w:noWrap w:val="0"/>
            <w:tcMar>
              <w:left w:w="108" w:type="dxa"/>
              <w:right w:w="108" w:type="dxa"/>
            </w:tcMar>
            <w:vAlign w:val="center"/>
          </w:tcPr>
          <w:p w14:paraId="0C3D1A6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3F9B955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291E08E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7FCBAC4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4A7F0D1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1745950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66E125D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46CDB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78" w:type="dxa"/>
            <w:gridSpan w:val="3"/>
            <w:noWrap w:val="0"/>
            <w:tcMar>
              <w:left w:w="108" w:type="dxa"/>
              <w:right w:w="108" w:type="dxa"/>
            </w:tcMar>
            <w:vAlign w:val="center"/>
          </w:tcPr>
          <w:p w14:paraId="02B8EAB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二、上年结转政府信息公开申请数量</w:t>
            </w:r>
          </w:p>
        </w:tc>
        <w:tc>
          <w:tcPr>
            <w:tcW w:w="617" w:type="dxa"/>
            <w:noWrap w:val="0"/>
            <w:tcMar>
              <w:left w:w="108" w:type="dxa"/>
              <w:right w:w="108" w:type="dxa"/>
            </w:tcMar>
            <w:vAlign w:val="center"/>
          </w:tcPr>
          <w:p w14:paraId="4C7DBEC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41A5703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69CB39F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407C646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70926F1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50F670C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20CEB07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212DB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restart"/>
            <w:noWrap w:val="0"/>
            <w:tcMar>
              <w:left w:w="108" w:type="dxa"/>
              <w:right w:w="108" w:type="dxa"/>
            </w:tcMar>
            <w:vAlign w:val="center"/>
          </w:tcPr>
          <w:p w14:paraId="5C27B68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textAlignment w:val="auto"/>
              <w:rPr>
                <w:rFonts w:ascii="黑体" w:hAnsi="黑体" w:eastAsia="黑体"/>
                <w:sz w:val="21"/>
                <w:szCs w:val="21"/>
              </w:rPr>
            </w:pPr>
            <w:r>
              <w:rPr>
                <w:rFonts w:hint="eastAsia" w:ascii="黑体" w:hAnsi="黑体" w:eastAsia="黑体"/>
                <w:kern w:val="0"/>
                <w:sz w:val="21"/>
                <w:szCs w:val="21"/>
              </w:rPr>
              <w:t>三、本年度办理结果</w:t>
            </w:r>
          </w:p>
        </w:tc>
        <w:tc>
          <w:tcPr>
            <w:tcW w:w="5036" w:type="dxa"/>
            <w:gridSpan w:val="2"/>
            <w:noWrap w:val="0"/>
            <w:tcMar>
              <w:left w:w="108" w:type="dxa"/>
              <w:right w:w="108" w:type="dxa"/>
            </w:tcMar>
            <w:vAlign w:val="center"/>
          </w:tcPr>
          <w:p w14:paraId="518D1DC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（一）予以公开</w:t>
            </w:r>
          </w:p>
        </w:tc>
        <w:tc>
          <w:tcPr>
            <w:tcW w:w="617" w:type="dxa"/>
            <w:noWrap w:val="0"/>
            <w:tcMar>
              <w:left w:w="108" w:type="dxa"/>
              <w:right w:w="108" w:type="dxa"/>
            </w:tcMar>
            <w:vAlign w:val="center"/>
          </w:tcPr>
          <w:p w14:paraId="7743658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32150BF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1663469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70E11A9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2B778DB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70DC05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249735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2F1FF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0899DA9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5036" w:type="dxa"/>
            <w:gridSpan w:val="2"/>
            <w:noWrap w:val="0"/>
            <w:tcMar>
              <w:left w:w="108" w:type="dxa"/>
              <w:right w:w="108" w:type="dxa"/>
            </w:tcMar>
            <w:vAlign w:val="center"/>
          </w:tcPr>
          <w:p w14:paraId="6B80218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（二）部分公开（</w:t>
            </w:r>
            <w:bookmarkStart w:id="1" w:name="_Hlk66973981"/>
            <w:r>
              <w:rPr>
                <w:rFonts w:hint="eastAsia" w:ascii="黑体" w:hAnsi="黑体" w:eastAsia="黑体"/>
                <w:kern w:val="0"/>
                <w:sz w:val="21"/>
                <w:szCs w:val="21"/>
              </w:rPr>
              <w:t>区分处理的，只计这一情形，不计其他情形</w:t>
            </w:r>
            <w:bookmarkEnd w:id="1"/>
            <w:r>
              <w:rPr>
                <w:rFonts w:hint="eastAsia" w:ascii="黑体" w:hAnsi="黑体" w:eastAsia="黑体"/>
                <w:kern w:val="0"/>
                <w:sz w:val="21"/>
                <w:szCs w:val="21"/>
              </w:rPr>
              <w:t>）</w:t>
            </w:r>
          </w:p>
        </w:tc>
        <w:tc>
          <w:tcPr>
            <w:tcW w:w="617" w:type="dxa"/>
            <w:noWrap w:val="0"/>
            <w:tcMar>
              <w:left w:w="108" w:type="dxa"/>
              <w:right w:w="108" w:type="dxa"/>
            </w:tcMar>
            <w:vAlign w:val="center"/>
          </w:tcPr>
          <w:p w14:paraId="64455EA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5F73101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0471305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59701C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0E506B1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2EFAC53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904863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4BB2A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472AD44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restart"/>
            <w:noWrap w:val="0"/>
            <w:tcMar>
              <w:left w:w="108" w:type="dxa"/>
              <w:right w:w="108" w:type="dxa"/>
            </w:tcMar>
            <w:vAlign w:val="center"/>
          </w:tcPr>
          <w:p w14:paraId="384A5F4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（三）不予公开</w:t>
            </w:r>
          </w:p>
        </w:tc>
        <w:tc>
          <w:tcPr>
            <w:tcW w:w="3331" w:type="dxa"/>
            <w:noWrap w:val="0"/>
            <w:tcMar>
              <w:left w:w="108" w:type="dxa"/>
              <w:right w:w="108" w:type="dxa"/>
            </w:tcMar>
            <w:vAlign w:val="center"/>
          </w:tcPr>
          <w:p w14:paraId="259C16D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1.属于国家秘密</w:t>
            </w:r>
          </w:p>
        </w:tc>
        <w:tc>
          <w:tcPr>
            <w:tcW w:w="617" w:type="dxa"/>
            <w:noWrap w:val="0"/>
            <w:tcMar>
              <w:left w:w="108" w:type="dxa"/>
              <w:right w:w="108" w:type="dxa"/>
            </w:tcMar>
            <w:vAlign w:val="center"/>
          </w:tcPr>
          <w:p w14:paraId="23754F5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196E650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7C0FC38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46B688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5E5D29B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59CE0E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7C062F4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0DD09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073D4AD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573AEDD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286F9F7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bookmarkStart w:id="2" w:name="_Hlk66974104"/>
            <w:r>
              <w:rPr>
                <w:rFonts w:hint="eastAsia" w:ascii="仿宋_GB2312" w:hAnsi="仿宋_GB2312" w:eastAsia="仿宋_GB2312" w:cs="仿宋_GB2312"/>
                <w:kern w:val="0"/>
                <w:sz w:val="21"/>
                <w:szCs w:val="21"/>
              </w:rPr>
              <w:t>其他法律行政法规禁止公开</w:t>
            </w:r>
            <w:bookmarkEnd w:id="2"/>
          </w:p>
        </w:tc>
        <w:tc>
          <w:tcPr>
            <w:tcW w:w="617" w:type="dxa"/>
            <w:noWrap w:val="0"/>
            <w:tcMar>
              <w:left w:w="108" w:type="dxa"/>
              <w:right w:w="108" w:type="dxa"/>
            </w:tcMar>
            <w:vAlign w:val="center"/>
          </w:tcPr>
          <w:p w14:paraId="7CCF764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default"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099D2C7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13AEAD6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26CE000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1479657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19A2CD5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788E797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353EA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53BEF21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5C2F010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622EBE7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3.危及“三安全一稳定”</w:t>
            </w:r>
          </w:p>
        </w:tc>
        <w:tc>
          <w:tcPr>
            <w:tcW w:w="617" w:type="dxa"/>
            <w:noWrap w:val="0"/>
            <w:tcMar>
              <w:left w:w="108" w:type="dxa"/>
              <w:right w:w="108" w:type="dxa"/>
            </w:tcMar>
            <w:vAlign w:val="center"/>
          </w:tcPr>
          <w:p w14:paraId="3AE92C3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765C7FE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4917E14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01F565B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0FEF0D3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6A01DCB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63825C9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0078C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2375833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70777E2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057C56E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bookmarkStart w:id="3" w:name="_Hlk66974290"/>
            <w:r>
              <w:rPr>
                <w:rFonts w:hint="eastAsia" w:ascii="仿宋_GB2312" w:hAnsi="仿宋_GB2312" w:eastAsia="仿宋_GB2312" w:cs="仿宋_GB2312"/>
                <w:kern w:val="0"/>
                <w:sz w:val="21"/>
                <w:szCs w:val="21"/>
              </w:rPr>
              <w:t>保护第三方合法权益</w:t>
            </w:r>
            <w:bookmarkEnd w:id="3"/>
          </w:p>
        </w:tc>
        <w:tc>
          <w:tcPr>
            <w:tcW w:w="617" w:type="dxa"/>
            <w:noWrap w:val="0"/>
            <w:tcMar>
              <w:left w:w="108" w:type="dxa"/>
              <w:right w:w="108" w:type="dxa"/>
            </w:tcMar>
            <w:vAlign w:val="center"/>
          </w:tcPr>
          <w:p w14:paraId="26F54B6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6F35D1D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4FFE6BF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2F81A67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5E5049C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2161AAA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4A8426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1F8BE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4CBDD24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3D4F418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7FFD95D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5.属于三类内部事务信息</w:t>
            </w:r>
          </w:p>
        </w:tc>
        <w:tc>
          <w:tcPr>
            <w:tcW w:w="617" w:type="dxa"/>
            <w:noWrap w:val="0"/>
            <w:tcMar>
              <w:left w:w="108" w:type="dxa"/>
              <w:right w:w="108" w:type="dxa"/>
            </w:tcMar>
            <w:vAlign w:val="center"/>
          </w:tcPr>
          <w:p w14:paraId="48658A9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6069A0F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5D25B54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8841F3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6089F7B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313EFA0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0239060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2B4BD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64624F6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337D954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15F11A8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bookmarkStart w:id="4" w:name="_Hlk66974555"/>
            <w:r>
              <w:rPr>
                <w:rFonts w:hint="eastAsia" w:ascii="仿宋_GB2312" w:hAnsi="仿宋_GB2312" w:eastAsia="仿宋_GB2312" w:cs="仿宋_GB2312"/>
                <w:kern w:val="0"/>
                <w:sz w:val="21"/>
                <w:szCs w:val="21"/>
              </w:rPr>
              <w:t>属于四类过程性信息</w:t>
            </w:r>
            <w:bookmarkEnd w:id="4"/>
          </w:p>
        </w:tc>
        <w:tc>
          <w:tcPr>
            <w:tcW w:w="617" w:type="dxa"/>
            <w:noWrap w:val="0"/>
            <w:tcMar>
              <w:left w:w="108" w:type="dxa"/>
              <w:right w:w="108" w:type="dxa"/>
            </w:tcMar>
            <w:vAlign w:val="center"/>
          </w:tcPr>
          <w:p w14:paraId="704226E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6AC0A9F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5CA70D4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4F91EAF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529F8E5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1AAA63A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49AD67B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785D5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421D9E0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3F437F7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435600F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7.属于行政执法案卷</w:t>
            </w:r>
          </w:p>
        </w:tc>
        <w:tc>
          <w:tcPr>
            <w:tcW w:w="617" w:type="dxa"/>
            <w:noWrap w:val="0"/>
            <w:tcMar>
              <w:left w:w="108" w:type="dxa"/>
              <w:right w:w="108" w:type="dxa"/>
            </w:tcMar>
            <w:vAlign w:val="center"/>
          </w:tcPr>
          <w:p w14:paraId="7338A06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76362BE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76B3142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0BBE70F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17FCE76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6CB6C68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829E43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6E2CD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10E0759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694682A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42CBD47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bookmarkStart w:id="5" w:name="_Hlk66975211"/>
            <w:r>
              <w:rPr>
                <w:rFonts w:hint="eastAsia" w:ascii="仿宋_GB2312" w:hAnsi="仿宋_GB2312" w:eastAsia="仿宋_GB2312" w:cs="仿宋_GB2312"/>
                <w:kern w:val="0"/>
                <w:sz w:val="21"/>
                <w:szCs w:val="21"/>
              </w:rPr>
              <w:t>属于行政查询事项</w:t>
            </w:r>
            <w:bookmarkEnd w:id="5"/>
          </w:p>
        </w:tc>
        <w:tc>
          <w:tcPr>
            <w:tcW w:w="617" w:type="dxa"/>
            <w:noWrap w:val="0"/>
            <w:tcMar>
              <w:left w:w="108" w:type="dxa"/>
              <w:right w:w="108" w:type="dxa"/>
            </w:tcMar>
            <w:vAlign w:val="center"/>
          </w:tcPr>
          <w:p w14:paraId="662897E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1BC6B1D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163471D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2D512EF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16C3328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CE8ED5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E4D1EE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1E1D4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0CAF98C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restart"/>
            <w:noWrap w:val="0"/>
            <w:tcMar>
              <w:left w:w="108" w:type="dxa"/>
              <w:right w:w="108" w:type="dxa"/>
            </w:tcMar>
            <w:vAlign w:val="center"/>
          </w:tcPr>
          <w:p w14:paraId="4F81324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（四）无法提供</w:t>
            </w:r>
          </w:p>
        </w:tc>
        <w:tc>
          <w:tcPr>
            <w:tcW w:w="3331" w:type="dxa"/>
            <w:noWrap w:val="0"/>
            <w:tcMar>
              <w:left w:w="108" w:type="dxa"/>
              <w:right w:w="108" w:type="dxa"/>
            </w:tcMar>
            <w:vAlign w:val="center"/>
          </w:tcPr>
          <w:p w14:paraId="68CC8B8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1.本机关不掌握相关政府信息</w:t>
            </w:r>
          </w:p>
        </w:tc>
        <w:tc>
          <w:tcPr>
            <w:tcW w:w="617" w:type="dxa"/>
            <w:noWrap w:val="0"/>
            <w:tcMar>
              <w:left w:w="108" w:type="dxa"/>
              <w:right w:w="108" w:type="dxa"/>
            </w:tcMar>
            <w:vAlign w:val="center"/>
          </w:tcPr>
          <w:p w14:paraId="6A84685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7948E4F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341D092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680DAA4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128D3BB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06663A8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0EE5575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1D2C5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5B212CA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3925116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73A2CC7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bookmarkStart w:id="6" w:name="_Hlk66975392"/>
            <w:r>
              <w:rPr>
                <w:rFonts w:hint="eastAsia" w:ascii="仿宋_GB2312" w:hAnsi="仿宋_GB2312" w:eastAsia="仿宋_GB2312" w:cs="仿宋_GB2312"/>
                <w:kern w:val="0"/>
                <w:sz w:val="21"/>
                <w:szCs w:val="21"/>
              </w:rPr>
              <w:t>没有现成信息需要另行制作</w:t>
            </w:r>
            <w:bookmarkEnd w:id="6"/>
          </w:p>
        </w:tc>
        <w:tc>
          <w:tcPr>
            <w:tcW w:w="617" w:type="dxa"/>
            <w:noWrap w:val="0"/>
            <w:tcMar>
              <w:left w:w="108" w:type="dxa"/>
              <w:right w:w="108" w:type="dxa"/>
            </w:tcMar>
            <w:vAlign w:val="center"/>
          </w:tcPr>
          <w:p w14:paraId="78CD5E2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60432FE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7AA1407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8171A7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48C9B05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60D1FF3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1B7E5F8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074EA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390D47B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5AB6339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704F89F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bookmarkStart w:id="7" w:name="_Hlk66975466"/>
            <w:r>
              <w:rPr>
                <w:rFonts w:hint="eastAsia" w:ascii="仿宋_GB2312" w:hAnsi="仿宋_GB2312" w:eastAsia="仿宋_GB2312" w:cs="仿宋_GB2312"/>
                <w:kern w:val="0"/>
                <w:sz w:val="21"/>
                <w:szCs w:val="21"/>
              </w:rPr>
              <w:t>补正后申请内容仍不明确</w:t>
            </w:r>
            <w:bookmarkEnd w:id="7"/>
          </w:p>
        </w:tc>
        <w:tc>
          <w:tcPr>
            <w:tcW w:w="617" w:type="dxa"/>
            <w:noWrap w:val="0"/>
            <w:tcMar>
              <w:left w:w="108" w:type="dxa"/>
              <w:right w:w="108" w:type="dxa"/>
            </w:tcMar>
            <w:vAlign w:val="center"/>
          </w:tcPr>
          <w:p w14:paraId="3D245E9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0F50E89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7F32277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0FEC45D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1B694B7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906F9A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571C908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7C3B2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3888B83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restart"/>
            <w:noWrap w:val="0"/>
            <w:tcMar>
              <w:left w:w="108" w:type="dxa"/>
              <w:right w:w="108" w:type="dxa"/>
            </w:tcMar>
            <w:vAlign w:val="center"/>
          </w:tcPr>
          <w:p w14:paraId="4A017E7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（五）不予处理</w:t>
            </w:r>
          </w:p>
        </w:tc>
        <w:tc>
          <w:tcPr>
            <w:tcW w:w="3331" w:type="dxa"/>
            <w:noWrap w:val="0"/>
            <w:tcMar>
              <w:left w:w="108" w:type="dxa"/>
              <w:right w:w="108" w:type="dxa"/>
            </w:tcMar>
            <w:vAlign w:val="center"/>
          </w:tcPr>
          <w:p w14:paraId="06DAD9B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bookmarkStart w:id="8" w:name="_Hlk66975537"/>
            <w:r>
              <w:rPr>
                <w:rFonts w:hint="eastAsia" w:ascii="仿宋_GB2312" w:hAnsi="仿宋_GB2312" w:eastAsia="仿宋_GB2312" w:cs="仿宋_GB2312"/>
                <w:kern w:val="0"/>
                <w:sz w:val="21"/>
                <w:szCs w:val="21"/>
              </w:rPr>
              <w:t>信访举报投诉类申请</w:t>
            </w:r>
            <w:bookmarkEnd w:id="8"/>
          </w:p>
        </w:tc>
        <w:tc>
          <w:tcPr>
            <w:tcW w:w="617" w:type="dxa"/>
            <w:noWrap w:val="0"/>
            <w:tcMar>
              <w:left w:w="108" w:type="dxa"/>
              <w:right w:w="108" w:type="dxa"/>
            </w:tcMar>
            <w:vAlign w:val="center"/>
          </w:tcPr>
          <w:p w14:paraId="386DC51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7AD8BFD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61FE1C6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1102801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48CB6EC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28BEE9A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5B50BF2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2829A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71C92D4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64764F5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47FF576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2.重复申请</w:t>
            </w:r>
          </w:p>
        </w:tc>
        <w:tc>
          <w:tcPr>
            <w:tcW w:w="617" w:type="dxa"/>
            <w:noWrap w:val="0"/>
            <w:tcMar>
              <w:left w:w="108" w:type="dxa"/>
              <w:right w:w="108" w:type="dxa"/>
            </w:tcMar>
            <w:vAlign w:val="center"/>
          </w:tcPr>
          <w:p w14:paraId="6E3E3C4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442762F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28C7C25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17B06FE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77FAA5D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30AA288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844339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1F984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07B727E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371BE8A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5B33F8C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3.要求提供公开出版物</w:t>
            </w:r>
          </w:p>
        </w:tc>
        <w:tc>
          <w:tcPr>
            <w:tcW w:w="617" w:type="dxa"/>
            <w:noWrap w:val="0"/>
            <w:tcMar>
              <w:left w:w="108" w:type="dxa"/>
              <w:right w:w="108" w:type="dxa"/>
            </w:tcMar>
            <w:vAlign w:val="center"/>
          </w:tcPr>
          <w:p w14:paraId="0458C9F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46CDA72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0EA5318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7AFBFEE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7BDFFB7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2240D13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4A2EAFC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3D4B3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3C33D12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2F97DD8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7E1CF69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4.无正当理由大量反复申请</w:t>
            </w:r>
          </w:p>
        </w:tc>
        <w:tc>
          <w:tcPr>
            <w:tcW w:w="617" w:type="dxa"/>
            <w:noWrap w:val="0"/>
            <w:tcMar>
              <w:left w:w="108" w:type="dxa"/>
              <w:right w:w="108" w:type="dxa"/>
            </w:tcMar>
            <w:vAlign w:val="center"/>
          </w:tcPr>
          <w:p w14:paraId="4362C62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208820C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3AD8BD9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B92674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7EF7087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06D9AD6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5B80353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74D75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4055447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068D3B0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0212B6C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5.要求行政机关确认或重新出具已获取信息</w:t>
            </w:r>
          </w:p>
        </w:tc>
        <w:tc>
          <w:tcPr>
            <w:tcW w:w="617" w:type="dxa"/>
            <w:noWrap w:val="0"/>
            <w:tcMar>
              <w:left w:w="108" w:type="dxa"/>
              <w:right w:w="108" w:type="dxa"/>
            </w:tcMar>
            <w:vAlign w:val="center"/>
          </w:tcPr>
          <w:p w14:paraId="002EB91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20AE416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4DD2B45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3C1C1EE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51BB5D3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0BD8E1E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484613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32E8E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2C66275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restart"/>
            <w:noWrap w:val="0"/>
            <w:tcMar>
              <w:left w:w="108" w:type="dxa"/>
              <w:right w:w="108" w:type="dxa"/>
            </w:tcMar>
            <w:vAlign w:val="center"/>
          </w:tcPr>
          <w:p w14:paraId="5B4C6E3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kern w:val="0"/>
                <w:sz w:val="21"/>
                <w:szCs w:val="21"/>
              </w:rPr>
            </w:pPr>
            <w:r>
              <w:rPr>
                <w:rFonts w:hint="eastAsia" w:ascii="黑体" w:hAnsi="黑体" w:eastAsia="黑体"/>
                <w:kern w:val="0"/>
                <w:sz w:val="21"/>
                <w:szCs w:val="21"/>
              </w:rPr>
              <w:t>（</w:t>
            </w:r>
            <w:r>
              <w:rPr>
                <w:rFonts w:hint="eastAsia" w:ascii="黑体" w:hAnsi="黑体" w:eastAsia="黑体"/>
                <w:kern w:val="0"/>
                <w:sz w:val="21"/>
                <w:szCs w:val="21"/>
                <w:lang w:val="en-US" w:eastAsia="zh-CN"/>
              </w:rPr>
              <w:t>六</w:t>
            </w:r>
            <w:r>
              <w:rPr>
                <w:rFonts w:hint="eastAsia" w:ascii="黑体" w:hAnsi="黑体" w:eastAsia="黑体"/>
                <w:kern w:val="0"/>
                <w:sz w:val="21"/>
                <w:szCs w:val="21"/>
              </w:rPr>
              <w:t>）</w:t>
            </w:r>
            <w:r>
              <w:rPr>
                <w:rFonts w:hint="eastAsia" w:ascii="黑体" w:hAnsi="黑体" w:eastAsia="黑体"/>
                <w:kern w:val="0"/>
                <w:sz w:val="21"/>
                <w:szCs w:val="21"/>
                <w:lang w:val="en-US" w:eastAsia="zh-CN"/>
              </w:rPr>
              <w:t>其他</w:t>
            </w:r>
            <w:r>
              <w:rPr>
                <w:rFonts w:hint="eastAsia" w:ascii="黑体" w:hAnsi="黑体" w:eastAsia="黑体"/>
                <w:kern w:val="0"/>
                <w:sz w:val="21"/>
                <w:szCs w:val="21"/>
              </w:rPr>
              <w:t>处理</w:t>
            </w:r>
          </w:p>
        </w:tc>
        <w:tc>
          <w:tcPr>
            <w:tcW w:w="3331" w:type="dxa"/>
            <w:noWrap w:val="0"/>
            <w:vAlign w:val="center"/>
          </w:tcPr>
          <w:p w14:paraId="2EE4FF4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1.申请人无正当理由逾期不补正、行政机关不再处理其政府信息公开申请</w:t>
            </w:r>
          </w:p>
        </w:tc>
        <w:tc>
          <w:tcPr>
            <w:tcW w:w="617" w:type="dxa"/>
            <w:noWrap w:val="0"/>
            <w:tcMar>
              <w:left w:w="108" w:type="dxa"/>
              <w:right w:w="108" w:type="dxa"/>
            </w:tcMar>
            <w:vAlign w:val="center"/>
          </w:tcPr>
          <w:p w14:paraId="75C82B0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7631573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7EA89FD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408E60F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710192C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9DC554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1C16469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72264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23A13DC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62C4AD1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kern w:val="0"/>
                <w:sz w:val="21"/>
                <w:szCs w:val="21"/>
              </w:rPr>
            </w:pPr>
          </w:p>
        </w:tc>
        <w:tc>
          <w:tcPr>
            <w:tcW w:w="3331" w:type="dxa"/>
            <w:noWrap w:val="0"/>
            <w:vAlign w:val="center"/>
          </w:tcPr>
          <w:p w14:paraId="595F6FC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2.申请人逾期未按收费通知要求缴纳费用、行政机关不再处理其政府信息公开申请</w:t>
            </w:r>
          </w:p>
        </w:tc>
        <w:tc>
          <w:tcPr>
            <w:tcW w:w="617" w:type="dxa"/>
            <w:noWrap w:val="0"/>
            <w:tcMar>
              <w:left w:w="108" w:type="dxa"/>
              <w:right w:w="108" w:type="dxa"/>
            </w:tcMar>
            <w:vAlign w:val="center"/>
          </w:tcPr>
          <w:p w14:paraId="39306A9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6091FC6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6B87250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F9C801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3336297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047E44F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0062B9A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66653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680F906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0309FCE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kern w:val="0"/>
                <w:sz w:val="21"/>
                <w:szCs w:val="21"/>
              </w:rPr>
            </w:pPr>
          </w:p>
        </w:tc>
        <w:tc>
          <w:tcPr>
            <w:tcW w:w="3331" w:type="dxa"/>
            <w:noWrap w:val="0"/>
            <w:vAlign w:val="center"/>
          </w:tcPr>
          <w:p w14:paraId="4783918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3.其他</w:t>
            </w:r>
          </w:p>
        </w:tc>
        <w:tc>
          <w:tcPr>
            <w:tcW w:w="617" w:type="dxa"/>
            <w:noWrap w:val="0"/>
            <w:tcMar>
              <w:left w:w="108" w:type="dxa"/>
              <w:right w:w="108" w:type="dxa"/>
            </w:tcMar>
            <w:vAlign w:val="center"/>
          </w:tcPr>
          <w:p w14:paraId="4668D17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2FD2FD0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0E16907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0DB786F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2563424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592513A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62D99E7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4720B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0D5ECF5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5036" w:type="dxa"/>
            <w:gridSpan w:val="2"/>
            <w:noWrap w:val="0"/>
            <w:tcMar>
              <w:left w:w="108" w:type="dxa"/>
              <w:right w:w="108" w:type="dxa"/>
            </w:tcMar>
            <w:vAlign w:val="center"/>
          </w:tcPr>
          <w:p w14:paraId="3C90F3D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kern w:val="0"/>
                <w:sz w:val="21"/>
                <w:szCs w:val="21"/>
              </w:rPr>
            </w:pPr>
            <w:r>
              <w:rPr>
                <w:rFonts w:hint="eastAsia" w:ascii="黑体" w:hAnsi="黑体" w:eastAsia="黑体"/>
                <w:kern w:val="0"/>
                <w:sz w:val="21"/>
                <w:szCs w:val="21"/>
              </w:rPr>
              <w:t>（七）总计</w:t>
            </w:r>
          </w:p>
        </w:tc>
        <w:tc>
          <w:tcPr>
            <w:tcW w:w="617" w:type="dxa"/>
            <w:noWrap w:val="0"/>
            <w:tcMar>
              <w:left w:w="108" w:type="dxa"/>
              <w:right w:w="108" w:type="dxa"/>
            </w:tcMar>
            <w:vAlign w:val="center"/>
          </w:tcPr>
          <w:p w14:paraId="4B52DBA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6B1257E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2A28A7B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2F6EAD7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0480592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182F6E7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4C13C16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5D063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78" w:type="dxa"/>
            <w:gridSpan w:val="3"/>
            <w:noWrap w:val="0"/>
            <w:tcMar>
              <w:left w:w="108" w:type="dxa"/>
              <w:right w:w="108" w:type="dxa"/>
            </w:tcMar>
            <w:vAlign w:val="center"/>
          </w:tcPr>
          <w:p w14:paraId="358AE4C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kern w:val="0"/>
                <w:sz w:val="21"/>
                <w:szCs w:val="21"/>
              </w:rPr>
            </w:pPr>
            <w:r>
              <w:rPr>
                <w:rFonts w:hint="eastAsia" w:ascii="黑体" w:hAnsi="黑体" w:eastAsia="黑体"/>
                <w:kern w:val="0"/>
                <w:sz w:val="21"/>
                <w:szCs w:val="21"/>
              </w:rPr>
              <w:t>四、结转下年度继续办理</w:t>
            </w:r>
          </w:p>
        </w:tc>
        <w:tc>
          <w:tcPr>
            <w:tcW w:w="617" w:type="dxa"/>
            <w:noWrap w:val="0"/>
            <w:tcMar>
              <w:left w:w="108" w:type="dxa"/>
              <w:right w:w="108" w:type="dxa"/>
            </w:tcMar>
            <w:vAlign w:val="center"/>
          </w:tcPr>
          <w:p w14:paraId="353F287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30FC9E9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3A26F81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6BCFE20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366FE90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7035A4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0B621A6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bl>
    <w:p w14:paraId="2F45F16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b w:val="0"/>
          <w:bCs w:val="0"/>
          <w:sz w:val="32"/>
          <w:szCs w:val="32"/>
        </w:rPr>
      </w:pPr>
      <w:r>
        <w:rPr>
          <w:rFonts w:eastAsia="黑体"/>
          <w:b w:val="0"/>
          <w:bCs w:val="0"/>
          <w:kern w:val="0"/>
          <w:sz w:val="32"/>
          <w:szCs w:val="32"/>
        </w:rPr>
        <w:t>四、政府信息公开行政复议、行政诉讼情况</w:t>
      </w:r>
    </w:p>
    <w:tbl>
      <w:tblPr>
        <w:tblStyle w:val="8"/>
        <w:tblW w:w="987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58"/>
        <w:gridCol w:w="658"/>
        <w:gridCol w:w="658"/>
        <w:gridCol w:w="658"/>
        <w:gridCol w:w="660"/>
        <w:gridCol w:w="658"/>
        <w:gridCol w:w="658"/>
        <w:gridCol w:w="658"/>
        <w:gridCol w:w="658"/>
        <w:gridCol w:w="660"/>
        <w:gridCol w:w="658"/>
        <w:gridCol w:w="658"/>
        <w:gridCol w:w="658"/>
        <w:gridCol w:w="658"/>
        <w:gridCol w:w="660"/>
      </w:tblGrid>
      <w:tr w14:paraId="43AFDA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29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91B7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ascii="黑体" w:hAnsi="黑体" w:eastAsia="黑体"/>
                <w:kern w:val="0"/>
                <w:sz w:val="24"/>
                <w:szCs w:val="24"/>
              </w:rPr>
              <w:t>行政复议</w:t>
            </w:r>
          </w:p>
        </w:tc>
        <w:tc>
          <w:tcPr>
            <w:tcW w:w="6584"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5D2055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kern w:val="0"/>
                <w:sz w:val="24"/>
                <w:szCs w:val="24"/>
              </w:rPr>
            </w:pPr>
            <w:r>
              <w:rPr>
                <w:rFonts w:ascii="黑体" w:hAnsi="黑体" w:eastAsia="黑体"/>
                <w:kern w:val="0"/>
                <w:sz w:val="24"/>
                <w:szCs w:val="24"/>
              </w:rPr>
              <w:t>行政诉讼</w:t>
            </w:r>
          </w:p>
        </w:tc>
      </w:tr>
      <w:tr w14:paraId="58A686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5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D17E49D">
            <w:pPr>
              <w:keepNext w:val="0"/>
              <w:keepLines w:val="0"/>
              <w:pageBreakBefore w:val="0"/>
              <w:widowControl/>
              <w:kinsoku/>
              <w:wordWrap/>
              <w:overflowPunct/>
              <w:topLinePunct w:val="0"/>
              <w:autoSpaceDE/>
              <w:autoSpaceDN/>
              <w:bidi w:val="0"/>
              <w:adjustRightInd/>
              <w:snapToGrid/>
              <w:spacing w:line="400" w:lineRule="exact"/>
              <w:ind w:left="-227" w:leftChars="-71" w:right="-259" w:rightChars="-81"/>
              <w:jc w:val="center"/>
              <w:textAlignment w:val="auto"/>
              <w:rPr>
                <w:rFonts w:ascii="黑体" w:hAnsi="黑体" w:eastAsia="黑体"/>
                <w:kern w:val="0"/>
                <w:sz w:val="24"/>
                <w:szCs w:val="24"/>
              </w:rPr>
            </w:pPr>
            <w:r>
              <w:rPr>
                <w:rFonts w:ascii="黑体" w:hAnsi="黑体" w:eastAsia="黑体"/>
                <w:kern w:val="0"/>
                <w:sz w:val="24"/>
                <w:szCs w:val="24"/>
              </w:rPr>
              <w:t>结果</w:t>
            </w:r>
          </w:p>
          <w:p w14:paraId="002E5114">
            <w:pPr>
              <w:keepNext w:val="0"/>
              <w:keepLines w:val="0"/>
              <w:pageBreakBefore w:val="0"/>
              <w:widowControl/>
              <w:kinsoku/>
              <w:wordWrap/>
              <w:overflowPunct/>
              <w:topLinePunct w:val="0"/>
              <w:autoSpaceDE/>
              <w:autoSpaceDN/>
              <w:bidi w:val="0"/>
              <w:adjustRightInd/>
              <w:snapToGrid/>
              <w:spacing w:line="400" w:lineRule="exact"/>
              <w:ind w:left="-227" w:leftChars="-71" w:right="-259" w:rightChars="-81"/>
              <w:jc w:val="center"/>
              <w:textAlignment w:val="auto"/>
              <w:rPr>
                <w:rFonts w:ascii="黑体" w:hAnsi="黑体" w:eastAsia="黑体"/>
                <w:sz w:val="24"/>
                <w:szCs w:val="24"/>
              </w:rPr>
            </w:pPr>
            <w:r>
              <w:rPr>
                <w:rFonts w:ascii="黑体" w:hAnsi="黑体" w:eastAsia="黑体"/>
                <w:kern w:val="0"/>
                <w:sz w:val="24"/>
                <w:szCs w:val="24"/>
              </w:rPr>
              <w:t>维持</w:t>
            </w:r>
          </w:p>
        </w:tc>
        <w:tc>
          <w:tcPr>
            <w:tcW w:w="658" w:type="dxa"/>
            <w:vMerge w:val="restart"/>
            <w:tcBorders>
              <w:top w:val="nil"/>
              <w:left w:val="nil"/>
              <w:bottom w:val="single" w:color="auto" w:sz="8" w:space="0"/>
              <w:right w:val="single" w:color="auto" w:sz="8" w:space="0"/>
            </w:tcBorders>
            <w:noWrap w:val="0"/>
            <w:tcMar>
              <w:left w:w="108" w:type="dxa"/>
              <w:right w:w="108" w:type="dxa"/>
            </w:tcMar>
            <w:vAlign w:val="center"/>
          </w:tcPr>
          <w:p w14:paraId="71509002">
            <w:pPr>
              <w:keepNext w:val="0"/>
              <w:keepLines w:val="0"/>
              <w:pageBreakBefore w:val="0"/>
              <w:widowControl/>
              <w:kinsoku/>
              <w:wordWrap/>
              <w:overflowPunct/>
              <w:topLinePunct w:val="0"/>
              <w:autoSpaceDE/>
              <w:autoSpaceDN/>
              <w:bidi w:val="0"/>
              <w:adjustRightInd/>
              <w:snapToGrid/>
              <w:spacing w:line="400" w:lineRule="exact"/>
              <w:ind w:left="-66" w:leftChars="-21" w:right="-202" w:rightChars="-63" w:hanging="1"/>
              <w:jc w:val="center"/>
              <w:textAlignment w:val="auto"/>
              <w:rPr>
                <w:rFonts w:ascii="黑体" w:hAnsi="黑体" w:eastAsia="黑体"/>
                <w:kern w:val="0"/>
                <w:sz w:val="24"/>
                <w:szCs w:val="24"/>
              </w:rPr>
            </w:pPr>
            <w:r>
              <w:rPr>
                <w:rFonts w:ascii="黑体" w:hAnsi="黑体" w:eastAsia="黑体"/>
                <w:kern w:val="0"/>
                <w:sz w:val="24"/>
                <w:szCs w:val="24"/>
              </w:rPr>
              <w:t>结果</w:t>
            </w:r>
          </w:p>
          <w:p w14:paraId="621F26C5">
            <w:pPr>
              <w:keepNext w:val="0"/>
              <w:keepLines w:val="0"/>
              <w:pageBreakBefore w:val="0"/>
              <w:widowControl/>
              <w:kinsoku/>
              <w:wordWrap/>
              <w:overflowPunct/>
              <w:topLinePunct w:val="0"/>
              <w:autoSpaceDE/>
              <w:autoSpaceDN/>
              <w:bidi w:val="0"/>
              <w:adjustRightInd/>
              <w:snapToGrid/>
              <w:spacing w:line="400" w:lineRule="exact"/>
              <w:ind w:left="-66" w:leftChars="-21" w:right="-202" w:rightChars="-63" w:hanging="1"/>
              <w:jc w:val="center"/>
              <w:textAlignment w:val="auto"/>
              <w:rPr>
                <w:rFonts w:ascii="黑体" w:hAnsi="黑体" w:eastAsia="黑体"/>
                <w:sz w:val="24"/>
                <w:szCs w:val="24"/>
              </w:rPr>
            </w:pPr>
            <w:r>
              <w:rPr>
                <w:rFonts w:ascii="黑体" w:hAnsi="黑体" w:eastAsia="黑体"/>
                <w:kern w:val="0"/>
                <w:sz w:val="24"/>
                <w:szCs w:val="24"/>
              </w:rPr>
              <w:t>纠正</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AF77F5D">
            <w:pPr>
              <w:keepNext w:val="0"/>
              <w:keepLines w:val="0"/>
              <w:pageBreakBefore w:val="0"/>
              <w:widowControl/>
              <w:kinsoku/>
              <w:wordWrap/>
              <w:overflowPunct/>
              <w:topLinePunct w:val="0"/>
              <w:autoSpaceDE/>
              <w:autoSpaceDN/>
              <w:bidi w:val="0"/>
              <w:adjustRightInd/>
              <w:snapToGrid/>
              <w:spacing w:line="400" w:lineRule="exact"/>
              <w:ind w:left="-125" w:leftChars="-39" w:right="-147" w:rightChars="-46"/>
              <w:jc w:val="center"/>
              <w:textAlignment w:val="auto"/>
              <w:rPr>
                <w:rFonts w:ascii="黑体" w:hAnsi="黑体" w:eastAsia="黑体"/>
                <w:kern w:val="0"/>
                <w:sz w:val="24"/>
                <w:szCs w:val="24"/>
              </w:rPr>
            </w:pPr>
            <w:r>
              <w:rPr>
                <w:rFonts w:ascii="黑体" w:hAnsi="黑体" w:eastAsia="黑体"/>
                <w:kern w:val="0"/>
                <w:sz w:val="24"/>
                <w:szCs w:val="24"/>
              </w:rPr>
              <w:t>其他</w:t>
            </w:r>
          </w:p>
          <w:p w14:paraId="5695EF34">
            <w:pPr>
              <w:keepNext w:val="0"/>
              <w:keepLines w:val="0"/>
              <w:pageBreakBefore w:val="0"/>
              <w:widowControl/>
              <w:kinsoku/>
              <w:wordWrap/>
              <w:overflowPunct/>
              <w:topLinePunct w:val="0"/>
              <w:autoSpaceDE/>
              <w:autoSpaceDN/>
              <w:bidi w:val="0"/>
              <w:adjustRightInd/>
              <w:snapToGrid/>
              <w:spacing w:line="400" w:lineRule="exact"/>
              <w:ind w:left="-125" w:leftChars="-39" w:right="-147" w:rightChars="-46"/>
              <w:jc w:val="center"/>
              <w:textAlignment w:val="auto"/>
              <w:rPr>
                <w:rFonts w:ascii="黑体" w:hAnsi="黑体" w:eastAsia="黑体"/>
                <w:sz w:val="24"/>
                <w:szCs w:val="24"/>
              </w:rPr>
            </w:pPr>
            <w:r>
              <w:rPr>
                <w:rFonts w:ascii="黑体" w:hAnsi="黑体" w:eastAsia="黑体"/>
                <w:kern w:val="0"/>
                <w:sz w:val="24"/>
                <w:szCs w:val="24"/>
              </w:rPr>
              <w:t>结果</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E4137FC">
            <w:pPr>
              <w:keepNext w:val="0"/>
              <w:keepLines w:val="0"/>
              <w:pageBreakBefore w:val="0"/>
              <w:widowControl/>
              <w:kinsoku/>
              <w:wordWrap/>
              <w:overflowPunct/>
              <w:topLinePunct w:val="0"/>
              <w:autoSpaceDE/>
              <w:autoSpaceDN/>
              <w:bidi w:val="0"/>
              <w:adjustRightInd/>
              <w:snapToGrid/>
              <w:spacing w:line="400" w:lineRule="exact"/>
              <w:ind w:left="-179" w:leftChars="-56" w:right="-179" w:rightChars="-56"/>
              <w:jc w:val="center"/>
              <w:textAlignment w:val="auto"/>
              <w:rPr>
                <w:rFonts w:ascii="黑体" w:hAnsi="黑体" w:eastAsia="黑体"/>
                <w:kern w:val="0"/>
                <w:sz w:val="24"/>
                <w:szCs w:val="24"/>
              </w:rPr>
            </w:pPr>
            <w:r>
              <w:rPr>
                <w:rFonts w:ascii="黑体" w:hAnsi="黑体" w:eastAsia="黑体"/>
                <w:kern w:val="0"/>
                <w:sz w:val="24"/>
                <w:szCs w:val="24"/>
              </w:rPr>
              <w:t>尚未</w:t>
            </w:r>
          </w:p>
          <w:p w14:paraId="68B9EDD7">
            <w:pPr>
              <w:keepNext w:val="0"/>
              <w:keepLines w:val="0"/>
              <w:pageBreakBefore w:val="0"/>
              <w:widowControl/>
              <w:kinsoku/>
              <w:wordWrap/>
              <w:overflowPunct/>
              <w:topLinePunct w:val="0"/>
              <w:autoSpaceDE/>
              <w:autoSpaceDN/>
              <w:bidi w:val="0"/>
              <w:adjustRightInd/>
              <w:snapToGrid/>
              <w:spacing w:line="400" w:lineRule="exact"/>
              <w:ind w:left="-179" w:leftChars="-56" w:right="-179" w:rightChars="-56"/>
              <w:jc w:val="center"/>
              <w:textAlignment w:val="auto"/>
              <w:rPr>
                <w:rFonts w:ascii="黑体" w:hAnsi="黑体" w:eastAsia="黑体"/>
                <w:sz w:val="24"/>
                <w:szCs w:val="24"/>
              </w:rPr>
            </w:pPr>
            <w:r>
              <w:rPr>
                <w:rFonts w:ascii="黑体" w:hAnsi="黑体" w:eastAsia="黑体"/>
                <w:kern w:val="0"/>
                <w:sz w:val="24"/>
                <w:szCs w:val="24"/>
              </w:rPr>
              <w:t>审结</w:t>
            </w:r>
          </w:p>
        </w:tc>
        <w:tc>
          <w:tcPr>
            <w:tcW w:w="66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04A0D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kern w:val="0"/>
                <w:sz w:val="24"/>
                <w:szCs w:val="24"/>
              </w:rPr>
            </w:pPr>
            <w:r>
              <w:rPr>
                <w:rFonts w:ascii="黑体" w:hAnsi="黑体" w:eastAsia="黑体"/>
                <w:kern w:val="0"/>
                <w:sz w:val="24"/>
                <w:szCs w:val="24"/>
              </w:rPr>
              <w:t>总</w:t>
            </w:r>
          </w:p>
          <w:p w14:paraId="1C99A2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ascii="黑体" w:hAnsi="黑体" w:eastAsia="黑体"/>
                <w:kern w:val="0"/>
                <w:sz w:val="24"/>
                <w:szCs w:val="24"/>
              </w:rPr>
              <w:t>计</w:t>
            </w:r>
          </w:p>
        </w:tc>
        <w:tc>
          <w:tcPr>
            <w:tcW w:w="3292"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4A677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ascii="黑体" w:hAnsi="黑体" w:eastAsia="黑体"/>
                <w:kern w:val="0"/>
                <w:sz w:val="24"/>
                <w:szCs w:val="24"/>
              </w:rPr>
              <w:t>未经复议直接起诉</w:t>
            </w:r>
          </w:p>
        </w:tc>
        <w:tc>
          <w:tcPr>
            <w:tcW w:w="3292"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673721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bookmarkStart w:id="9" w:name="_Hlk67039688"/>
            <w:r>
              <w:rPr>
                <w:rFonts w:ascii="黑体" w:hAnsi="黑体" w:eastAsia="黑体"/>
                <w:kern w:val="0"/>
                <w:sz w:val="24"/>
                <w:szCs w:val="24"/>
              </w:rPr>
              <w:t>复议后起诉</w:t>
            </w:r>
            <w:bookmarkEnd w:id="9"/>
          </w:p>
        </w:tc>
      </w:tr>
      <w:tr w14:paraId="2CF02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5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36BDC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p>
        </w:tc>
        <w:tc>
          <w:tcPr>
            <w:tcW w:w="658" w:type="dxa"/>
            <w:vMerge w:val="continue"/>
            <w:tcBorders>
              <w:top w:val="nil"/>
              <w:left w:val="nil"/>
              <w:bottom w:val="single" w:color="auto" w:sz="8" w:space="0"/>
              <w:right w:val="single" w:color="auto" w:sz="8" w:space="0"/>
            </w:tcBorders>
            <w:noWrap w:val="0"/>
            <w:tcMar>
              <w:left w:w="108" w:type="dxa"/>
              <w:right w:w="108" w:type="dxa"/>
            </w:tcMar>
            <w:vAlign w:val="center"/>
          </w:tcPr>
          <w:p w14:paraId="23A905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9DB5E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292E1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p>
        </w:tc>
        <w:tc>
          <w:tcPr>
            <w:tcW w:w="66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07F80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586826DE">
            <w:pPr>
              <w:keepNext w:val="0"/>
              <w:keepLines w:val="0"/>
              <w:pageBreakBefore w:val="0"/>
              <w:widowControl/>
              <w:kinsoku/>
              <w:wordWrap/>
              <w:overflowPunct/>
              <w:topLinePunct w:val="0"/>
              <w:autoSpaceDE/>
              <w:autoSpaceDN/>
              <w:bidi w:val="0"/>
              <w:adjustRightInd/>
              <w:snapToGrid/>
              <w:spacing w:line="400" w:lineRule="exact"/>
              <w:ind w:left="-160" w:leftChars="-50" w:right="-192" w:rightChars="-60"/>
              <w:jc w:val="center"/>
              <w:textAlignment w:val="auto"/>
              <w:rPr>
                <w:rFonts w:ascii="黑体" w:hAnsi="黑体" w:eastAsia="黑体"/>
                <w:kern w:val="0"/>
                <w:sz w:val="24"/>
                <w:szCs w:val="24"/>
              </w:rPr>
            </w:pPr>
            <w:r>
              <w:rPr>
                <w:rFonts w:ascii="黑体" w:hAnsi="黑体" w:eastAsia="黑体"/>
                <w:kern w:val="0"/>
                <w:sz w:val="24"/>
                <w:szCs w:val="24"/>
              </w:rPr>
              <w:t>结果</w:t>
            </w:r>
          </w:p>
          <w:p w14:paraId="1D5A744B">
            <w:pPr>
              <w:keepNext w:val="0"/>
              <w:keepLines w:val="0"/>
              <w:pageBreakBefore w:val="0"/>
              <w:widowControl/>
              <w:kinsoku/>
              <w:wordWrap/>
              <w:overflowPunct/>
              <w:topLinePunct w:val="0"/>
              <w:autoSpaceDE/>
              <w:autoSpaceDN/>
              <w:bidi w:val="0"/>
              <w:adjustRightInd/>
              <w:snapToGrid/>
              <w:spacing w:line="400" w:lineRule="exact"/>
              <w:ind w:left="-160" w:leftChars="-50" w:right="-192" w:rightChars="-60"/>
              <w:jc w:val="center"/>
              <w:textAlignment w:val="auto"/>
              <w:rPr>
                <w:rFonts w:ascii="黑体" w:hAnsi="黑体" w:eastAsia="黑体"/>
                <w:sz w:val="24"/>
                <w:szCs w:val="24"/>
              </w:rPr>
            </w:pPr>
            <w:r>
              <w:rPr>
                <w:rFonts w:ascii="黑体" w:hAnsi="黑体" w:eastAsia="黑体"/>
                <w:kern w:val="0"/>
                <w:sz w:val="24"/>
                <w:szCs w:val="24"/>
              </w:rPr>
              <w:t>维持</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26DE528E">
            <w:pPr>
              <w:keepNext w:val="0"/>
              <w:keepLines w:val="0"/>
              <w:pageBreakBefore w:val="0"/>
              <w:widowControl/>
              <w:kinsoku/>
              <w:wordWrap/>
              <w:overflowPunct/>
              <w:topLinePunct w:val="0"/>
              <w:autoSpaceDE/>
              <w:autoSpaceDN/>
              <w:bidi w:val="0"/>
              <w:adjustRightInd/>
              <w:snapToGrid/>
              <w:spacing w:line="400" w:lineRule="exact"/>
              <w:ind w:left="-131" w:leftChars="-41" w:right="-134" w:rightChars="-42"/>
              <w:jc w:val="center"/>
              <w:textAlignment w:val="auto"/>
              <w:rPr>
                <w:rFonts w:ascii="黑体" w:hAnsi="黑体" w:eastAsia="黑体"/>
                <w:kern w:val="0"/>
                <w:sz w:val="24"/>
                <w:szCs w:val="24"/>
              </w:rPr>
            </w:pPr>
            <w:r>
              <w:rPr>
                <w:rFonts w:ascii="黑体" w:hAnsi="黑体" w:eastAsia="黑体"/>
                <w:kern w:val="0"/>
                <w:sz w:val="24"/>
                <w:szCs w:val="24"/>
              </w:rPr>
              <w:t>结果</w:t>
            </w:r>
          </w:p>
          <w:p w14:paraId="6963D0DC">
            <w:pPr>
              <w:keepNext w:val="0"/>
              <w:keepLines w:val="0"/>
              <w:pageBreakBefore w:val="0"/>
              <w:widowControl/>
              <w:kinsoku/>
              <w:wordWrap/>
              <w:overflowPunct/>
              <w:topLinePunct w:val="0"/>
              <w:autoSpaceDE/>
              <w:autoSpaceDN/>
              <w:bidi w:val="0"/>
              <w:adjustRightInd/>
              <w:snapToGrid/>
              <w:spacing w:line="400" w:lineRule="exact"/>
              <w:ind w:left="-131" w:leftChars="-41" w:right="-134" w:rightChars="-42"/>
              <w:jc w:val="center"/>
              <w:textAlignment w:val="auto"/>
              <w:rPr>
                <w:rFonts w:ascii="黑体" w:hAnsi="黑体" w:eastAsia="黑体"/>
                <w:sz w:val="24"/>
                <w:szCs w:val="24"/>
              </w:rPr>
            </w:pPr>
            <w:r>
              <w:rPr>
                <w:rFonts w:ascii="黑体" w:hAnsi="黑体" w:eastAsia="黑体"/>
                <w:kern w:val="0"/>
                <w:sz w:val="24"/>
                <w:szCs w:val="24"/>
              </w:rPr>
              <w:t>纠正</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0FD8D3F">
            <w:pPr>
              <w:keepNext w:val="0"/>
              <w:keepLines w:val="0"/>
              <w:pageBreakBefore w:val="0"/>
              <w:widowControl/>
              <w:kinsoku/>
              <w:wordWrap/>
              <w:overflowPunct/>
              <w:topLinePunct w:val="0"/>
              <w:autoSpaceDE/>
              <w:autoSpaceDN/>
              <w:bidi w:val="0"/>
              <w:adjustRightInd/>
              <w:snapToGrid/>
              <w:spacing w:line="400" w:lineRule="exact"/>
              <w:ind w:left="-192" w:leftChars="-60" w:right="-208" w:rightChars="-65"/>
              <w:jc w:val="center"/>
              <w:textAlignment w:val="auto"/>
              <w:rPr>
                <w:rFonts w:ascii="黑体" w:hAnsi="黑体" w:eastAsia="黑体"/>
                <w:kern w:val="0"/>
                <w:sz w:val="24"/>
                <w:szCs w:val="24"/>
              </w:rPr>
            </w:pPr>
            <w:r>
              <w:rPr>
                <w:rFonts w:ascii="黑体" w:hAnsi="黑体" w:eastAsia="黑体"/>
                <w:kern w:val="0"/>
                <w:sz w:val="24"/>
                <w:szCs w:val="24"/>
              </w:rPr>
              <w:t>其他</w:t>
            </w:r>
          </w:p>
          <w:p w14:paraId="54ECC5A5">
            <w:pPr>
              <w:keepNext w:val="0"/>
              <w:keepLines w:val="0"/>
              <w:pageBreakBefore w:val="0"/>
              <w:widowControl/>
              <w:kinsoku/>
              <w:wordWrap/>
              <w:overflowPunct/>
              <w:topLinePunct w:val="0"/>
              <w:autoSpaceDE/>
              <w:autoSpaceDN/>
              <w:bidi w:val="0"/>
              <w:adjustRightInd/>
              <w:snapToGrid/>
              <w:spacing w:line="400" w:lineRule="exact"/>
              <w:ind w:left="-192" w:leftChars="-60" w:right="-208" w:rightChars="-65"/>
              <w:jc w:val="center"/>
              <w:textAlignment w:val="auto"/>
              <w:rPr>
                <w:rFonts w:ascii="黑体" w:hAnsi="黑体" w:eastAsia="黑体"/>
                <w:sz w:val="24"/>
                <w:szCs w:val="24"/>
              </w:rPr>
            </w:pPr>
            <w:r>
              <w:rPr>
                <w:rFonts w:ascii="黑体" w:hAnsi="黑体" w:eastAsia="黑体"/>
                <w:kern w:val="0"/>
                <w:sz w:val="24"/>
                <w:szCs w:val="24"/>
              </w:rPr>
              <w:t>结果</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A1B8A86">
            <w:pPr>
              <w:keepNext w:val="0"/>
              <w:keepLines w:val="0"/>
              <w:pageBreakBefore w:val="0"/>
              <w:widowControl/>
              <w:kinsoku/>
              <w:wordWrap/>
              <w:overflowPunct/>
              <w:topLinePunct w:val="0"/>
              <w:autoSpaceDE/>
              <w:autoSpaceDN/>
              <w:bidi w:val="0"/>
              <w:adjustRightInd/>
              <w:snapToGrid/>
              <w:spacing w:line="400" w:lineRule="exact"/>
              <w:ind w:left="-250" w:leftChars="-78" w:right="-234" w:rightChars="-73"/>
              <w:jc w:val="center"/>
              <w:textAlignment w:val="auto"/>
              <w:rPr>
                <w:rFonts w:ascii="黑体" w:hAnsi="黑体" w:eastAsia="黑体"/>
                <w:kern w:val="0"/>
                <w:sz w:val="24"/>
                <w:szCs w:val="24"/>
              </w:rPr>
            </w:pPr>
            <w:r>
              <w:rPr>
                <w:rFonts w:ascii="黑体" w:hAnsi="黑体" w:eastAsia="黑体"/>
                <w:kern w:val="0"/>
                <w:sz w:val="24"/>
                <w:szCs w:val="24"/>
              </w:rPr>
              <w:t>尚未</w:t>
            </w:r>
          </w:p>
          <w:p w14:paraId="0F876463">
            <w:pPr>
              <w:keepNext w:val="0"/>
              <w:keepLines w:val="0"/>
              <w:pageBreakBefore w:val="0"/>
              <w:widowControl/>
              <w:kinsoku/>
              <w:wordWrap/>
              <w:overflowPunct/>
              <w:topLinePunct w:val="0"/>
              <w:autoSpaceDE/>
              <w:autoSpaceDN/>
              <w:bidi w:val="0"/>
              <w:adjustRightInd/>
              <w:snapToGrid/>
              <w:spacing w:line="400" w:lineRule="exact"/>
              <w:ind w:left="-250" w:leftChars="-78" w:right="-234" w:rightChars="-73"/>
              <w:jc w:val="center"/>
              <w:textAlignment w:val="auto"/>
              <w:rPr>
                <w:rFonts w:ascii="黑体" w:hAnsi="黑体" w:eastAsia="黑体"/>
                <w:sz w:val="24"/>
                <w:szCs w:val="24"/>
              </w:rPr>
            </w:pPr>
            <w:r>
              <w:rPr>
                <w:rFonts w:ascii="黑体" w:hAnsi="黑体" w:eastAsia="黑体"/>
                <w:kern w:val="0"/>
                <w:sz w:val="24"/>
                <w:szCs w:val="24"/>
              </w:rPr>
              <w:t>审结</w:t>
            </w:r>
          </w:p>
        </w:tc>
        <w:tc>
          <w:tcPr>
            <w:tcW w:w="66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86671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ascii="黑体" w:hAnsi="黑体" w:eastAsia="黑体"/>
                <w:kern w:val="0"/>
                <w:sz w:val="24"/>
                <w:szCs w:val="24"/>
              </w:rPr>
              <w:t>总计</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EB2DE5A">
            <w:pPr>
              <w:keepNext w:val="0"/>
              <w:keepLines w:val="0"/>
              <w:pageBreakBefore w:val="0"/>
              <w:widowControl/>
              <w:kinsoku/>
              <w:wordWrap/>
              <w:overflowPunct/>
              <w:topLinePunct w:val="0"/>
              <w:autoSpaceDE/>
              <w:autoSpaceDN/>
              <w:bidi w:val="0"/>
              <w:adjustRightInd/>
              <w:snapToGrid/>
              <w:spacing w:line="400" w:lineRule="exact"/>
              <w:ind w:left="-150" w:leftChars="-47" w:right="-118" w:rightChars="-37"/>
              <w:jc w:val="center"/>
              <w:textAlignment w:val="auto"/>
              <w:rPr>
                <w:rFonts w:ascii="黑体" w:hAnsi="黑体" w:eastAsia="黑体"/>
                <w:kern w:val="0"/>
                <w:sz w:val="24"/>
                <w:szCs w:val="24"/>
              </w:rPr>
            </w:pPr>
            <w:r>
              <w:rPr>
                <w:rFonts w:ascii="黑体" w:hAnsi="黑体" w:eastAsia="黑体"/>
                <w:kern w:val="0"/>
                <w:sz w:val="24"/>
                <w:szCs w:val="24"/>
              </w:rPr>
              <w:t>结果</w:t>
            </w:r>
          </w:p>
          <w:p w14:paraId="1CA42A9E">
            <w:pPr>
              <w:keepNext w:val="0"/>
              <w:keepLines w:val="0"/>
              <w:pageBreakBefore w:val="0"/>
              <w:widowControl/>
              <w:kinsoku/>
              <w:wordWrap/>
              <w:overflowPunct/>
              <w:topLinePunct w:val="0"/>
              <w:autoSpaceDE/>
              <w:autoSpaceDN/>
              <w:bidi w:val="0"/>
              <w:adjustRightInd/>
              <w:snapToGrid/>
              <w:spacing w:line="400" w:lineRule="exact"/>
              <w:ind w:left="-150" w:leftChars="-47" w:right="-118" w:rightChars="-37"/>
              <w:jc w:val="center"/>
              <w:textAlignment w:val="auto"/>
              <w:rPr>
                <w:rFonts w:ascii="黑体" w:hAnsi="黑体" w:eastAsia="黑体"/>
                <w:sz w:val="24"/>
                <w:szCs w:val="24"/>
              </w:rPr>
            </w:pPr>
            <w:r>
              <w:rPr>
                <w:rFonts w:ascii="黑体" w:hAnsi="黑体" w:eastAsia="黑体"/>
                <w:kern w:val="0"/>
                <w:sz w:val="24"/>
                <w:szCs w:val="24"/>
              </w:rPr>
              <w:t>维持</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4E4651A">
            <w:pPr>
              <w:keepNext w:val="0"/>
              <w:keepLines w:val="0"/>
              <w:pageBreakBefore w:val="0"/>
              <w:widowControl/>
              <w:kinsoku/>
              <w:wordWrap/>
              <w:overflowPunct/>
              <w:topLinePunct w:val="0"/>
              <w:autoSpaceDE/>
              <w:autoSpaceDN/>
              <w:bidi w:val="0"/>
              <w:adjustRightInd/>
              <w:snapToGrid/>
              <w:spacing w:line="400" w:lineRule="exact"/>
              <w:ind w:left="-208" w:leftChars="-65" w:right="-189" w:rightChars="-59"/>
              <w:jc w:val="center"/>
              <w:textAlignment w:val="auto"/>
              <w:rPr>
                <w:rFonts w:ascii="黑体" w:hAnsi="黑体" w:eastAsia="黑体"/>
                <w:kern w:val="0"/>
                <w:sz w:val="24"/>
                <w:szCs w:val="24"/>
              </w:rPr>
            </w:pPr>
            <w:r>
              <w:rPr>
                <w:rFonts w:ascii="黑体" w:hAnsi="黑体" w:eastAsia="黑体"/>
                <w:kern w:val="0"/>
                <w:sz w:val="24"/>
                <w:szCs w:val="24"/>
              </w:rPr>
              <w:t>结果</w:t>
            </w:r>
          </w:p>
          <w:p w14:paraId="347C83CD">
            <w:pPr>
              <w:keepNext w:val="0"/>
              <w:keepLines w:val="0"/>
              <w:pageBreakBefore w:val="0"/>
              <w:widowControl/>
              <w:kinsoku/>
              <w:wordWrap/>
              <w:overflowPunct/>
              <w:topLinePunct w:val="0"/>
              <w:autoSpaceDE/>
              <w:autoSpaceDN/>
              <w:bidi w:val="0"/>
              <w:adjustRightInd/>
              <w:snapToGrid/>
              <w:spacing w:line="400" w:lineRule="exact"/>
              <w:ind w:left="-208" w:leftChars="-65" w:right="-189" w:rightChars="-59"/>
              <w:jc w:val="center"/>
              <w:textAlignment w:val="auto"/>
              <w:rPr>
                <w:rFonts w:ascii="黑体" w:hAnsi="黑体" w:eastAsia="黑体"/>
                <w:sz w:val="24"/>
                <w:szCs w:val="24"/>
              </w:rPr>
            </w:pPr>
            <w:r>
              <w:rPr>
                <w:rFonts w:ascii="黑体" w:hAnsi="黑体" w:eastAsia="黑体"/>
                <w:kern w:val="0"/>
                <w:sz w:val="24"/>
                <w:szCs w:val="24"/>
              </w:rPr>
              <w:t>纠正</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49220D3">
            <w:pPr>
              <w:keepNext w:val="0"/>
              <w:keepLines w:val="0"/>
              <w:pageBreakBefore w:val="0"/>
              <w:widowControl/>
              <w:kinsoku/>
              <w:wordWrap/>
              <w:overflowPunct/>
              <w:topLinePunct w:val="0"/>
              <w:autoSpaceDE/>
              <w:autoSpaceDN/>
              <w:bidi w:val="0"/>
              <w:adjustRightInd/>
              <w:snapToGrid/>
              <w:spacing w:line="400" w:lineRule="exact"/>
              <w:ind w:left="-265" w:leftChars="-83" w:right="-205" w:rightChars="-64" w:hanging="1"/>
              <w:jc w:val="center"/>
              <w:textAlignment w:val="auto"/>
              <w:rPr>
                <w:rFonts w:ascii="黑体" w:hAnsi="黑体" w:eastAsia="黑体"/>
                <w:kern w:val="0"/>
                <w:sz w:val="24"/>
                <w:szCs w:val="24"/>
              </w:rPr>
            </w:pPr>
            <w:r>
              <w:rPr>
                <w:rFonts w:ascii="黑体" w:hAnsi="黑体" w:eastAsia="黑体"/>
                <w:kern w:val="0"/>
                <w:sz w:val="24"/>
                <w:szCs w:val="24"/>
              </w:rPr>
              <w:t>其他</w:t>
            </w:r>
          </w:p>
          <w:p w14:paraId="2EEFAD3E">
            <w:pPr>
              <w:keepNext w:val="0"/>
              <w:keepLines w:val="0"/>
              <w:pageBreakBefore w:val="0"/>
              <w:widowControl/>
              <w:kinsoku/>
              <w:wordWrap/>
              <w:overflowPunct/>
              <w:topLinePunct w:val="0"/>
              <w:autoSpaceDE/>
              <w:autoSpaceDN/>
              <w:bidi w:val="0"/>
              <w:adjustRightInd/>
              <w:snapToGrid/>
              <w:spacing w:line="400" w:lineRule="exact"/>
              <w:ind w:left="-265" w:leftChars="-83" w:right="-205" w:rightChars="-64" w:hanging="1"/>
              <w:jc w:val="center"/>
              <w:textAlignment w:val="auto"/>
              <w:rPr>
                <w:rFonts w:ascii="黑体" w:hAnsi="黑体" w:eastAsia="黑体"/>
                <w:sz w:val="24"/>
                <w:szCs w:val="24"/>
              </w:rPr>
            </w:pPr>
            <w:r>
              <w:rPr>
                <w:rFonts w:ascii="黑体" w:hAnsi="黑体" w:eastAsia="黑体"/>
                <w:kern w:val="0"/>
                <w:sz w:val="24"/>
                <w:szCs w:val="24"/>
              </w:rPr>
              <w:t>结果</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E8CA512">
            <w:pPr>
              <w:keepNext w:val="0"/>
              <w:keepLines w:val="0"/>
              <w:pageBreakBefore w:val="0"/>
              <w:widowControl/>
              <w:kinsoku/>
              <w:wordWrap/>
              <w:overflowPunct/>
              <w:topLinePunct w:val="0"/>
              <w:autoSpaceDE/>
              <w:autoSpaceDN/>
              <w:bidi w:val="0"/>
              <w:adjustRightInd/>
              <w:snapToGrid/>
              <w:spacing w:line="400" w:lineRule="exact"/>
              <w:ind w:left="-104" w:leftChars="-33" w:right="-160" w:rightChars="-50" w:hanging="2" w:hangingChars="1"/>
              <w:jc w:val="center"/>
              <w:textAlignment w:val="auto"/>
              <w:rPr>
                <w:rFonts w:ascii="黑体" w:hAnsi="黑体" w:eastAsia="黑体"/>
                <w:sz w:val="24"/>
                <w:szCs w:val="24"/>
              </w:rPr>
            </w:pPr>
            <w:r>
              <w:rPr>
                <w:rFonts w:ascii="黑体" w:hAnsi="黑体" w:eastAsia="黑体"/>
                <w:kern w:val="0"/>
                <w:sz w:val="24"/>
                <w:szCs w:val="24"/>
              </w:rPr>
              <w:t>尚未审结</w:t>
            </w:r>
          </w:p>
        </w:tc>
        <w:tc>
          <w:tcPr>
            <w:tcW w:w="66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B5817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ascii="黑体" w:hAnsi="黑体" w:eastAsia="黑体"/>
                <w:kern w:val="0"/>
                <w:sz w:val="24"/>
                <w:szCs w:val="24"/>
              </w:rPr>
              <w:t>总计</w:t>
            </w:r>
          </w:p>
        </w:tc>
      </w:tr>
      <w:tr w14:paraId="467021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4" w:hRule="atLeast"/>
          <w:jc w:val="center"/>
        </w:trPr>
        <w:tc>
          <w:tcPr>
            <w:tcW w:w="65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DC1F2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sz w:val="24"/>
                <w:szCs w:val="24"/>
                <w:lang w:eastAsia="zh-CN"/>
              </w:rPr>
            </w:pPr>
            <w:r>
              <w:rPr>
                <w:rFonts w:hint="eastAsia" w:ascii="Times New Roman" w:hAnsi="Times New Roman" w:cs="Times New Roman"/>
                <w:sz w:val="24"/>
                <w:szCs w:val="24"/>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76FCDA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sz w:val="24"/>
                <w:szCs w:val="24"/>
                <w:lang w:eastAsia="zh-CN"/>
              </w:rPr>
            </w:pPr>
            <w:r>
              <w:rPr>
                <w:rFonts w:hint="eastAsia" w:ascii="Times New Roman" w:hAnsi="Times New Roman" w:cs="Times New Roman"/>
                <w:sz w:val="24"/>
                <w:szCs w:val="24"/>
                <w:lang w:val="en-US" w:eastAsia="zh-CN"/>
              </w:rPr>
              <w:t>0</w:t>
            </w:r>
            <w:bookmarkStart w:id="10" w:name="_GoBack"/>
            <w:bookmarkEnd w:id="10"/>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35CC6E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4B8049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14:paraId="2BA307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sz w:val="24"/>
                <w:szCs w:val="24"/>
                <w:lang w:eastAsia="zh-CN"/>
              </w:rPr>
            </w:pPr>
            <w:r>
              <w:rPr>
                <w:rFonts w:hint="eastAsia" w:ascii="Times New Roman" w:hAnsi="Times New Roman" w:cs="Times New Roman"/>
                <w:sz w:val="24"/>
                <w:szCs w:val="24"/>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288A3C48">
            <w:pPr>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1145AB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3A1949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BF925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14:paraId="032684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2930FB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15601F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57A0D8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3C2057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14:paraId="4295B0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r>
    </w:tbl>
    <w:p w14:paraId="3FC2F842">
      <w:pPr>
        <w:pStyle w:val="7"/>
        <w:keepNext w:val="0"/>
        <w:keepLines w:val="0"/>
        <w:pageBreakBefore w:val="0"/>
        <w:kinsoku/>
        <w:wordWrap/>
        <w:overflowPunct/>
        <w:topLinePunct w:val="0"/>
        <w:autoSpaceDE/>
        <w:autoSpaceDN/>
        <w:bidi w:val="0"/>
        <w:adjustRightInd/>
        <w:snapToGrid/>
        <w:spacing w:after="0" w:line="600" w:lineRule="exact"/>
        <w:ind w:left="0" w:leftChars="0" w:firstLine="640" w:firstLineChars="200"/>
        <w:textAlignment w:val="auto"/>
        <w:rPr>
          <w:rFonts w:eastAsia="黑体"/>
          <w:b w:val="0"/>
          <w:bCs w:val="0"/>
          <w:kern w:val="0"/>
          <w:sz w:val="32"/>
          <w:szCs w:val="32"/>
        </w:rPr>
      </w:pPr>
    </w:p>
    <w:p w14:paraId="66360266">
      <w:pPr>
        <w:pStyle w:val="7"/>
        <w:keepNext w:val="0"/>
        <w:keepLines w:val="0"/>
        <w:pageBreakBefore w:val="0"/>
        <w:kinsoku/>
        <w:wordWrap/>
        <w:overflowPunct/>
        <w:topLinePunct w:val="0"/>
        <w:autoSpaceDE/>
        <w:autoSpaceDN/>
        <w:bidi w:val="0"/>
        <w:adjustRightInd/>
        <w:snapToGrid/>
        <w:spacing w:after="0" w:line="600" w:lineRule="exact"/>
        <w:ind w:left="0" w:leftChars="0" w:firstLine="640" w:firstLineChars="200"/>
        <w:textAlignment w:val="auto"/>
        <w:rPr>
          <w:rFonts w:eastAsia="黑体"/>
          <w:b w:val="0"/>
          <w:bCs w:val="0"/>
          <w:kern w:val="0"/>
          <w:sz w:val="32"/>
          <w:szCs w:val="32"/>
        </w:rPr>
      </w:pPr>
      <w:r>
        <w:rPr>
          <w:rFonts w:eastAsia="黑体"/>
          <w:b w:val="0"/>
          <w:bCs w:val="0"/>
          <w:kern w:val="0"/>
          <w:sz w:val="32"/>
          <w:szCs w:val="32"/>
        </w:rPr>
        <w:t>五、存在的主要问题及改进情况</w:t>
      </w:r>
    </w:p>
    <w:p w14:paraId="19F331C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lang w:val="en-US" w:eastAsia="zh-CN"/>
        </w:rPr>
        <w:t>202</w:t>
      </w:r>
      <w:r>
        <w:rPr>
          <w:rFonts w:hint="eastAsia"/>
          <w:lang w:val="en-US" w:eastAsia="zh-CN"/>
        </w:rPr>
        <w:t>4</w:t>
      </w:r>
      <w:r>
        <w:rPr>
          <w:rFonts w:hint="default"/>
          <w:lang w:val="en-US" w:eastAsia="zh-CN"/>
        </w:rPr>
        <w:t>年，我</w:t>
      </w:r>
      <w:r>
        <w:rPr>
          <w:rFonts w:hint="eastAsia"/>
          <w:lang w:val="en-US" w:eastAsia="zh-CN"/>
        </w:rPr>
        <w:t>局</w:t>
      </w:r>
      <w:r>
        <w:rPr>
          <w:rFonts w:hint="default"/>
          <w:lang w:val="en-US" w:eastAsia="zh-CN"/>
        </w:rPr>
        <w:t>政府信息公开工作</w:t>
      </w:r>
      <w:r>
        <w:rPr>
          <w:rFonts w:hint="eastAsia"/>
          <w:lang w:val="en-US" w:eastAsia="zh-CN"/>
        </w:rPr>
        <w:t>开展稳中求进</w:t>
      </w:r>
      <w:r>
        <w:rPr>
          <w:rFonts w:hint="default"/>
          <w:lang w:val="en-US" w:eastAsia="zh-CN"/>
        </w:rPr>
        <w:t>，但</w:t>
      </w:r>
      <w:r>
        <w:rPr>
          <w:rFonts w:hint="eastAsia"/>
          <w:lang w:val="en-US" w:eastAsia="zh-CN"/>
        </w:rPr>
        <w:t>还存在两点需要改进的地方</w:t>
      </w:r>
      <w:r>
        <w:rPr>
          <w:rFonts w:hint="default"/>
          <w:lang w:val="en-US" w:eastAsia="zh-CN"/>
        </w:rPr>
        <w:t>。一是政务公开</w:t>
      </w:r>
      <w:r>
        <w:rPr>
          <w:rFonts w:hint="eastAsia"/>
          <w:lang w:val="en-US" w:eastAsia="zh-CN"/>
        </w:rPr>
        <w:t>工作质量需</w:t>
      </w:r>
      <w:r>
        <w:rPr>
          <w:rFonts w:hint="default"/>
          <w:lang w:val="en-US" w:eastAsia="zh-CN"/>
        </w:rPr>
        <w:t>进一步提高</w:t>
      </w:r>
      <w:r>
        <w:rPr>
          <w:rFonts w:hint="eastAsia"/>
          <w:lang w:val="en-US" w:eastAsia="zh-CN"/>
        </w:rPr>
        <w:t>；</w:t>
      </w:r>
      <w:r>
        <w:rPr>
          <w:rFonts w:hint="default"/>
          <w:lang w:val="en-US" w:eastAsia="zh-CN"/>
        </w:rPr>
        <w:t>二是推送政策信息</w:t>
      </w:r>
      <w:r>
        <w:rPr>
          <w:rFonts w:hint="eastAsia"/>
          <w:lang w:val="en-US" w:eastAsia="zh-CN"/>
        </w:rPr>
        <w:t>效率方面</w:t>
      </w:r>
      <w:r>
        <w:rPr>
          <w:rFonts w:hint="default"/>
          <w:lang w:val="en-US" w:eastAsia="zh-CN"/>
        </w:rPr>
        <w:t>还需要</w:t>
      </w:r>
      <w:r>
        <w:rPr>
          <w:rFonts w:hint="eastAsia"/>
          <w:lang w:val="en-US" w:eastAsia="zh-CN"/>
        </w:rPr>
        <w:t>提高</w:t>
      </w:r>
      <w:r>
        <w:rPr>
          <w:rFonts w:hint="default"/>
          <w:lang w:val="en-US" w:eastAsia="zh-CN"/>
        </w:rPr>
        <w:t>。</w:t>
      </w:r>
    </w:p>
    <w:p w14:paraId="6F54785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lang w:val="en-US" w:eastAsia="zh-CN"/>
        </w:rPr>
        <w:t>针对</w:t>
      </w:r>
      <w:r>
        <w:rPr>
          <w:rFonts w:hint="eastAsia"/>
          <w:lang w:val="en-US" w:eastAsia="zh-CN"/>
        </w:rPr>
        <w:t>以上两点</w:t>
      </w:r>
      <w:r>
        <w:rPr>
          <w:rFonts w:hint="default"/>
          <w:lang w:val="en-US" w:eastAsia="zh-CN"/>
        </w:rPr>
        <w:t>问题，我局采取以下措施补足短板，完善信息公开工作：一是时刻保持学习，定期进行开展组织政务公开工作培训。二是将政府信息公开工作同业务工作相结合</w:t>
      </w:r>
      <w:r>
        <w:rPr>
          <w:rFonts w:hint="eastAsia"/>
          <w:lang w:val="en-US" w:eastAsia="zh-CN"/>
        </w:rPr>
        <w:t>，及时推送政策信息，依托</w:t>
      </w:r>
      <w:r>
        <w:rPr>
          <w:rFonts w:hint="default"/>
          <w:lang w:val="en-US" w:eastAsia="zh-CN"/>
        </w:rPr>
        <w:t>政务公开促进</w:t>
      </w:r>
      <w:r>
        <w:rPr>
          <w:rFonts w:hint="eastAsia"/>
          <w:lang w:val="en-US" w:eastAsia="zh-CN"/>
        </w:rPr>
        <w:t>城市管理和综合执法</w:t>
      </w:r>
      <w:r>
        <w:rPr>
          <w:rFonts w:hint="default"/>
          <w:lang w:val="en-US" w:eastAsia="zh-CN"/>
        </w:rPr>
        <w:t>工作高质量发展。</w:t>
      </w:r>
    </w:p>
    <w:p w14:paraId="1C588C56">
      <w:pPr>
        <w:pStyle w:val="7"/>
        <w:keepNext w:val="0"/>
        <w:keepLines w:val="0"/>
        <w:pageBreakBefore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63160EF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（一）本年度政府信息公开申请未达到《政府信息公开信息处理费管理办法》（国办函〔2020〕109号）所规定的信息处理费收费标准，故未收取信息处理费。</w:t>
      </w:r>
    </w:p>
    <w:p w14:paraId="103EC2C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cs="仿宋_GB2312"/>
          <w:sz w:val="32"/>
          <w:szCs w:val="32"/>
          <w:lang w:val="en-US" w:eastAsia="zh-CN"/>
        </w:rPr>
      </w:pPr>
      <w:r>
        <w:rPr>
          <w:rFonts w:hint="eastAsia" w:cs="仿宋_GB2312"/>
          <w:sz w:val="32"/>
          <w:szCs w:val="32"/>
          <w:lang w:val="en-US" w:eastAsia="zh-CN"/>
        </w:rPr>
        <w:t>（二）落实上级政务公开重点工作情况。根据2024年山东省政务公开效能监测实施方案，结合高新区综合执法局实际，及时公开财政信息、重大项目建设等重点领域信息，畅通群众获取政府信息的渠道。持续推进基层政务公开标准化规范化，全面梳理细化城管领域政务公开事项，明确具体事项的公开标准，制作主动公开基本目录清单等工作，促进高新区综合执法局政务公开工作提质增效。</w:t>
      </w:r>
    </w:p>
    <w:p w14:paraId="72F198B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cs="仿宋_GB2312"/>
          <w:sz w:val="32"/>
          <w:szCs w:val="32"/>
          <w:lang w:val="en-US" w:eastAsia="zh-CN"/>
        </w:rPr>
      </w:pPr>
      <w:r>
        <w:rPr>
          <w:rFonts w:hint="eastAsia" w:cs="仿宋_GB2312"/>
          <w:sz w:val="32"/>
          <w:szCs w:val="32"/>
          <w:lang w:val="en-US" w:eastAsia="zh-CN"/>
        </w:rPr>
        <w:t>（三）2024年全年接到市人大常委会交办的人大代表建议办理工作0件，收到市政协十一届三次会议提案1件，均已在规定时限内答复完毕，办复率100%。</w:t>
      </w:r>
    </w:p>
    <w:p w14:paraId="11040DB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（四）</w:t>
      </w:r>
      <w:r>
        <w:rPr>
          <w:rFonts w:hint="eastAsia" w:ascii="仿宋_GB2312" w:hAnsi="仿宋_GB2312" w:eastAsia="仿宋_GB2312" w:cs="仿宋_GB2312"/>
          <w:sz w:val="32"/>
          <w:szCs w:val="32"/>
        </w:rPr>
        <w:t>本行政机关年度政务公开工作创新情况</w:t>
      </w:r>
      <w:r>
        <w:rPr>
          <w:rFonts w:hint="eastAsia" w:cs="仿宋_GB2312"/>
          <w:sz w:val="32"/>
          <w:szCs w:val="32"/>
          <w:lang w:eastAsia="zh-CN"/>
        </w:rPr>
        <w:t>。</w:t>
      </w:r>
      <w:r>
        <w:rPr>
          <w:rFonts w:hint="eastAsia" w:cs="仿宋_GB2312"/>
          <w:sz w:val="32"/>
          <w:szCs w:val="32"/>
          <w:lang w:val="en-US" w:eastAsia="zh-CN"/>
        </w:rPr>
        <w:t>通过</w:t>
      </w:r>
      <w:r>
        <w:rPr>
          <w:rFonts w:hint="eastAsia" w:ascii="仿宋_GB2312" w:hAnsi="仿宋_GB2312" w:eastAsia="仿宋_GB2312" w:cs="仿宋_GB2312"/>
          <w:sz w:val="32"/>
          <w:szCs w:val="32"/>
        </w:rPr>
        <w:t>“政府开放日”活动，向群众</w:t>
      </w:r>
      <w:r>
        <w:rPr>
          <w:rFonts w:hint="eastAsia" w:cs="仿宋_GB2312"/>
          <w:sz w:val="32"/>
          <w:szCs w:val="32"/>
          <w:lang w:val="en-US" w:eastAsia="zh-CN"/>
        </w:rPr>
        <w:t>代表</w:t>
      </w:r>
      <w:r>
        <w:rPr>
          <w:rFonts w:hint="eastAsia" w:ascii="仿宋_GB2312" w:hAnsi="仿宋_GB2312" w:eastAsia="仿宋_GB2312" w:cs="仿宋_GB2312"/>
          <w:sz w:val="32"/>
          <w:szCs w:val="32"/>
        </w:rPr>
        <w:t>介绍</w:t>
      </w:r>
      <w:r>
        <w:rPr>
          <w:rFonts w:hint="eastAsia" w:cs="仿宋_GB2312"/>
          <w:sz w:val="32"/>
          <w:szCs w:val="32"/>
          <w:lang w:val="en-US" w:eastAsia="zh-CN"/>
        </w:rPr>
        <w:t>生活垃圾分类、智慧城市管理、新型文化空间成果等城市管理</w:t>
      </w:r>
      <w:r>
        <w:rPr>
          <w:rFonts w:hint="eastAsia" w:ascii="仿宋_GB2312" w:hAnsi="仿宋_GB2312" w:eastAsia="仿宋_GB2312" w:cs="仿宋_GB2312"/>
          <w:sz w:val="32"/>
          <w:szCs w:val="32"/>
        </w:rPr>
        <w:t>工作成效，让群众代表切身了解我局重点工作开展情况，共同为我区的</w:t>
      </w:r>
      <w:r>
        <w:rPr>
          <w:rFonts w:hint="eastAsia" w:cs="仿宋_GB2312"/>
          <w:sz w:val="32"/>
          <w:szCs w:val="32"/>
          <w:lang w:val="en-US" w:eastAsia="zh-CN"/>
        </w:rPr>
        <w:t>城市管理</w:t>
      </w:r>
      <w:r>
        <w:rPr>
          <w:rFonts w:hint="eastAsia" w:ascii="仿宋_GB2312" w:hAnsi="仿宋_GB2312" w:eastAsia="仿宋_GB2312" w:cs="仿宋_GB2312"/>
          <w:sz w:val="32"/>
          <w:szCs w:val="32"/>
        </w:rPr>
        <w:t>工作出谋划策。</w:t>
      </w:r>
    </w:p>
    <w:p w14:paraId="1F334A5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（五）本行政机关政府信息公开工作年度报告数据统计需要说明的事项。本报告中所列数据的统计时限为2024年1月1日至2024年12月31日。</w:t>
      </w:r>
    </w:p>
    <w:p w14:paraId="296BDD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（六）本行政机关认为需要报告的其他事项：无。</w:t>
      </w:r>
    </w:p>
    <w:p w14:paraId="0408832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（七）其他有关文件专门要求通过政府信息公开工作年度报告予以报告的事项：无。</w:t>
      </w:r>
    </w:p>
    <w:sectPr>
      <w:footerReference r:id="rId3" w:type="default"/>
      <w:pgSz w:w="11906" w:h="16838"/>
      <w:pgMar w:top="1757" w:right="1474" w:bottom="158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B2B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E846B">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FE846B">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NDE3MTU1MThjMmNlMjM0ODcxZGIyYjZiYWY1ZDAifQ=="/>
  </w:docVars>
  <w:rsids>
    <w:rsidRoot w:val="00000000"/>
    <w:rsid w:val="01FA0EB1"/>
    <w:rsid w:val="034E34CB"/>
    <w:rsid w:val="04B62533"/>
    <w:rsid w:val="05340028"/>
    <w:rsid w:val="07287319"/>
    <w:rsid w:val="081859DF"/>
    <w:rsid w:val="0AFD2C6A"/>
    <w:rsid w:val="0BA53A2D"/>
    <w:rsid w:val="0C4274CE"/>
    <w:rsid w:val="0CA647E8"/>
    <w:rsid w:val="0CEC1EC5"/>
    <w:rsid w:val="0E1A1D85"/>
    <w:rsid w:val="0EC83175"/>
    <w:rsid w:val="106043C7"/>
    <w:rsid w:val="111202E5"/>
    <w:rsid w:val="12F4732B"/>
    <w:rsid w:val="13C44C6D"/>
    <w:rsid w:val="1633298D"/>
    <w:rsid w:val="16DE1BA1"/>
    <w:rsid w:val="179901BE"/>
    <w:rsid w:val="17A5456C"/>
    <w:rsid w:val="17AC6144"/>
    <w:rsid w:val="17BE7C25"/>
    <w:rsid w:val="189866C8"/>
    <w:rsid w:val="1B3C128E"/>
    <w:rsid w:val="1C2F4C4D"/>
    <w:rsid w:val="1D344C11"/>
    <w:rsid w:val="1D507571"/>
    <w:rsid w:val="1DEC729A"/>
    <w:rsid w:val="1ED32208"/>
    <w:rsid w:val="2303032F"/>
    <w:rsid w:val="23A979DB"/>
    <w:rsid w:val="241F7C82"/>
    <w:rsid w:val="27B32313"/>
    <w:rsid w:val="27BA44DF"/>
    <w:rsid w:val="2AC11AAE"/>
    <w:rsid w:val="2B031AEC"/>
    <w:rsid w:val="2C437436"/>
    <w:rsid w:val="2C532BDA"/>
    <w:rsid w:val="2C7636A9"/>
    <w:rsid w:val="2F936A4E"/>
    <w:rsid w:val="32990C1B"/>
    <w:rsid w:val="34D83C7C"/>
    <w:rsid w:val="355925D8"/>
    <w:rsid w:val="362C382B"/>
    <w:rsid w:val="369D517D"/>
    <w:rsid w:val="37C9384A"/>
    <w:rsid w:val="39932868"/>
    <w:rsid w:val="3A183A59"/>
    <w:rsid w:val="3B4B164C"/>
    <w:rsid w:val="3DAD7499"/>
    <w:rsid w:val="3E0D2BA2"/>
    <w:rsid w:val="40A60DEE"/>
    <w:rsid w:val="415B1EBD"/>
    <w:rsid w:val="42002A64"/>
    <w:rsid w:val="42843695"/>
    <w:rsid w:val="44E91983"/>
    <w:rsid w:val="45313815"/>
    <w:rsid w:val="46024FFD"/>
    <w:rsid w:val="47CB35E9"/>
    <w:rsid w:val="47EF09AD"/>
    <w:rsid w:val="47F92430"/>
    <w:rsid w:val="494D658F"/>
    <w:rsid w:val="4CE54D31"/>
    <w:rsid w:val="506643DA"/>
    <w:rsid w:val="50B138A7"/>
    <w:rsid w:val="50DB26D2"/>
    <w:rsid w:val="537A08C9"/>
    <w:rsid w:val="538C5F06"/>
    <w:rsid w:val="54CF69F2"/>
    <w:rsid w:val="55DF0EB7"/>
    <w:rsid w:val="569577C7"/>
    <w:rsid w:val="571E5A0F"/>
    <w:rsid w:val="590F3861"/>
    <w:rsid w:val="59480B21"/>
    <w:rsid w:val="5A8E2EAB"/>
    <w:rsid w:val="5B12588A"/>
    <w:rsid w:val="5D2F4C81"/>
    <w:rsid w:val="5D301FF8"/>
    <w:rsid w:val="5E8343A9"/>
    <w:rsid w:val="5FAA6092"/>
    <w:rsid w:val="614C4F26"/>
    <w:rsid w:val="63576251"/>
    <w:rsid w:val="63F7386F"/>
    <w:rsid w:val="6597614E"/>
    <w:rsid w:val="674E6BDA"/>
    <w:rsid w:val="677902A5"/>
    <w:rsid w:val="6A0720EC"/>
    <w:rsid w:val="6B160A7F"/>
    <w:rsid w:val="6B680BAF"/>
    <w:rsid w:val="6B6C4B43"/>
    <w:rsid w:val="6BC26511"/>
    <w:rsid w:val="6C6B0957"/>
    <w:rsid w:val="6F675307"/>
    <w:rsid w:val="6FCA62DC"/>
    <w:rsid w:val="70D40583"/>
    <w:rsid w:val="71333A0D"/>
    <w:rsid w:val="72AE5A41"/>
    <w:rsid w:val="73AD7AA7"/>
    <w:rsid w:val="73E01C2A"/>
    <w:rsid w:val="755328D0"/>
    <w:rsid w:val="75AB270C"/>
    <w:rsid w:val="76AA4771"/>
    <w:rsid w:val="77B633BD"/>
    <w:rsid w:val="78D3078D"/>
    <w:rsid w:val="7BA3209C"/>
    <w:rsid w:val="7C8D4919"/>
    <w:rsid w:val="7C9E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line="660" w:lineRule="exact"/>
      <w:ind w:firstLine="705"/>
    </w:pPr>
    <w:rPr>
      <w:rFonts w:ascii="仿宋_GB2312" w:eastAsia="仿宋_GB2312"/>
      <w:color w:val="000000"/>
      <w:sz w:val="36"/>
      <w:szCs w:val="3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unhideWhenUsed/>
    <w:qFormat/>
    <w:uiPriority w:val="99"/>
    <w:pPr>
      <w:ind w:firstLine="420" w:firstLineChars="200"/>
    </w:p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3044</Words>
  <Characters>3182</Characters>
  <Lines>0</Lines>
  <Paragraphs>0</Paragraphs>
  <TotalTime>1</TotalTime>
  <ScaleCrop>false</ScaleCrop>
  <LinksUpToDate>false</LinksUpToDate>
  <CharactersWithSpaces>3183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2023-05-26T07:51:00Z</dcterms:created>
  <dc:creator>Admin</dc:creator>
  <cp:lastModifiedBy>荔枝</cp:lastModifiedBy>
  <dcterms:modified xsi:type="dcterms:W3CDTF">2025-01-26T02:51:01Z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0EA9AF2F88B54FC9945831BA2FD80617_12</vt:lpwstr>
  </property>
  <property fmtid="{D5CDD505-2E9C-101B-9397-08002B2CF9AE}" pid="4" name="KSOTemplateDocerSaveRecord">
    <vt:lpwstr>eyJoZGlkIjoiYzZiZjlhZmMzYjU0M2Q1ZmEzNTEyMmVmNTUwOTA5ZjMiLCJ1c2VySWQiOiIyNDk1OTUxNTgifQ==</vt:lpwstr>
  </property>
</Properties>
</file>