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43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枣庄高新区党群工作部2024年</w:t>
      </w:r>
    </w:p>
    <w:p w14:paraId="3AC2C4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80" w:lineRule="exact"/>
        <w:ind w:right="0"/>
        <w:jc w:val="center"/>
        <w:textAlignment w:val="auto"/>
        <w:rPr>
          <w:rFonts w:ascii="仿宋_GB2312" w:eastAsia="仿宋_GB2312" w:cs="仿宋_GB2312"/>
          <w:sz w:val="31"/>
          <w:szCs w:val="31"/>
        </w:rPr>
      </w:pPr>
      <w:r>
        <w:rPr>
          <w:rFonts w:hint="eastAsia" w:ascii="方正小标宋简体" w:hAnsi="方正小标宋简体" w:eastAsia="方正小标宋简体" w:cs="方正小标宋简体"/>
          <w:i w:val="0"/>
          <w:iCs w:val="0"/>
          <w:caps w:val="0"/>
          <w:color w:val="000000"/>
          <w:spacing w:val="0"/>
          <w:sz w:val="44"/>
          <w:szCs w:val="44"/>
          <w:shd w:val="clear" w:fill="FFFFFF"/>
        </w:rPr>
        <w:t>政府信息公开工作年度报告</w:t>
      </w:r>
    </w:p>
    <w:p w14:paraId="0576D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55" w:lineRule="atLeast"/>
        <w:ind w:left="0" w:right="0" w:firstLine="620" w:firstLineChars="200"/>
        <w:jc w:val="both"/>
        <w:textAlignment w:val="auto"/>
        <w:rPr>
          <w:rFonts w:ascii="仿宋_GB2312" w:eastAsia="仿宋_GB2312" w:cs="仿宋_GB2312"/>
          <w:sz w:val="31"/>
          <w:szCs w:val="31"/>
        </w:rPr>
      </w:pPr>
    </w:p>
    <w:p w14:paraId="582EA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55" w:lineRule="atLeast"/>
        <w:ind w:left="0" w:right="0" w:firstLine="620" w:firstLineChars="200"/>
        <w:jc w:val="both"/>
        <w:textAlignment w:val="auto"/>
      </w:pPr>
      <w:r>
        <w:rPr>
          <w:rFonts w:ascii="仿宋_GB2312" w:eastAsia="仿宋_GB2312" w:cs="仿宋_GB2312"/>
          <w:sz w:val="31"/>
          <w:szCs w:val="31"/>
        </w:rPr>
        <w:t>本报告根据《中华人民共和国政府信息公开条例》《中华人民共和国政府信息公开工作年度报告格式》的通知（国办公开办函〔2021〕30号）和省、市有关工作要求，由枣庄高新区</w:t>
      </w:r>
      <w:r>
        <w:rPr>
          <w:rFonts w:hint="eastAsia" w:ascii="仿宋_GB2312" w:eastAsia="仿宋_GB2312" w:cs="仿宋_GB2312"/>
          <w:sz w:val="31"/>
          <w:szCs w:val="31"/>
        </w:rPr>
        <w:t>党群工作部编制。全文包括2024年政府信息公开工作要点落实情况，主动公开政府信息情况，回应解读情况，依申请公开情况，政府信息公开行政复议、行政诉讼和投诉情况，存在的主要问题及改进措施等。</w:t>
      </w:r>
      <w:r>
        <w:rPr>
          <w:rFonts w:hint="eastAsia" w:ascii="仿宋_GB2312" w:eastAsia="仿宋_GB2312" w:cs="仿宋_GB2312"/>
          <w:spacing w:val="0"/>
          <w:sz w:val="31"/>
          <w:szCs w:val="31"/>
          <w:shd w:val="clear" w:fill="FFFFFF"/>
        </w:rPr>
        <w:t>本年度报告中所列数据的统计期限自2024年1月1日起至2024年12月31日止。</w:t>
      </w:r>
      <w:r>
        <w:rPr>
          <w:rFonts w:hint="eastAsia" w:ascii="仿宋_GB2312" w:eastAsia="仿宋_GB2312" w:cs="仿宋_GB2312"/>
          <w:spacing w:val="0"/>
          <w:sz w:val="31"/>
          <w:szCs w:val="31"/>
        </w:rPr>
        <w:t>本报告全文在将枣庄高新区官方网站（http://www.zzctp.gov.cn/）“政府信息公开年度报告”专栏公布。如对本年度政府信息公开工作年度报告有疑问，请与枣庄高新区党群工作部联系（联系电话:0632-8693278，电子邮箱:gxzgbbgs@163.com）。</w:t>
      </w:r>
    </w:p>
    <w:p w14:paraId="5D7E4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ascii="黑体" w:hAnsi="宋体" w:eastAsia="黑体" w:cs="黑体"/>
          <w:spacing w:val="0"/>
          <w:sz w:val="31"/>
          <w:szCs w:val="31"/>
          <w:shd w:val="clear" w:fill="FFFFFF"/>
        </w:rPr>
        <w:t>一、总体情况</w:t>
      </w:r>
    </w:p>
    <w:p w14:paraId="4B894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555"/>
      </w:pPr>
      <w:r>
        <w:rPr>
          <w:rFonts w:hint="eastAsia" w:ascii="仿宋_GB2312" w:eastAsia="仿宋_GB2312" w:cs="仿宋_GB2312"/>
          <w:spacing w:val="0"/>
          <w:sz w:val="31"/>
          <w:szCs w:val="31"/>
          <w:shd w:val="clear" w:fill="FFFFFF"/>
        </w:rPr>
        <w:t>2024年，党群工作部坚持以人民为中心的发展思想，认真贯彻落实《中华人民共和国政府信息公开条例》、《山东省政府信息公开办法》规定的有关通知要求，坚持以公开为原则、不公开为例外，加强组织领导，明确责任分工，细化分解任务，加大督导力度，全面推进组织建设、平台建设、制度建设，通过政府门户网站、微信公众号等各类平台加大政府信息公开力度，强化政策解读，回应社会关注重点，依法、依规、及时、准确地公开相关政府信息，保障公民知情权、参与权和监督权。</w:t>
      </w:r>
    </w:p>
    <w:p w14:paraId="08601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555"/>
      </w:pPr>
      <w:r>
        <w:rPr>
          <w:rStyle w:val="5"/>
          <w:rFonts w:ascii="楷体_GB2312" w:eastAsia="楷体_GB2312" w:cs="楷体_GB2312"/>
          <w:spacing w:val="0"/>
          <w:sz w:val="31"/>
          <w:szCs w:val="31"/>
          <w:shd w:val="clear" w:fill="FFFFFF"/>
        </w:rPr>
        <w:t>（一）主动公开政府信息数</w:t>
      </w:r>
    </w:p>
    <w:p w14:paraId="4BA4FB32">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人事信息方面，主动公开文件2件，网上公开了1件。</w:t>
      </w:r>
    </w:p>
    <w:p w14:paraId="4542E32C">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政府网站方面，2024年通过政府门户网站公开政府信息通知公告8条，部门信息8条，在线访谈12条，高新要闻415条，视频新闻206条，媒体报道14条，其他信息10余条</w:t>
      </w:r>
      <w:r>
        <w:rPr>
          <w:rFonts w:hint="eastAsia" w:ascii="仿宋_GB2312" w:eastAsia="仿宋_GB2312" w:cs="仿宋_GB2312"/>
          <w:spacing w:val="0"/>
          <w:sz w:val="31"/>
          <w:szCs w:val="31"/>
          <w:shd w:val="clear" w:fill="FFFFFF"/>
          <w:lang w:eastAsia="zh-CN"/>
        </w:rPr>
        <w:t>，</w:t>
      </w:r>
      <w:r>
        <w:rPr>
          <w:rFonts w:hint="eastAsia" w:ascii="仿宋_GB2312" w:eastAsia="仿宋_GB2312" w:cs="仿宋_GB2312"/>
          <w:spacing w:val="0"/>
          <w:sz w:val="31"/>
          <w:szCs w:val="31"/>
          <w:shd w:val="clear" w:fill="FFFFFF"/>
          <w:lang w:val="en-US" w:eastAsia="zh-CN"/>
        </w:rPr>
        <w:t>共计680余条</w:t>
      </w:r>
      <w:r>
        <w:rPr>
          <w:rFonts w:hint="eastAsia" w:ascii="仿宋_GB2312" w:eastAsia="仿宋_GB2312" w:cs="仿宋_GB2312"/>
          <w:spacing w:val="0"/>
          <w:sz w:val="31"/>
          <w:szCs w:val="31"/>
          <w:shd w:val="clear" w:fill="FFFFFF"/>
        </w:rPr>
        <w:t>。</w:t>
      </w:r>
    </w:p>
    <w:p w14:paraId="658B084E">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其他方式方面，2024年通过微信公众号公开各类政府信息2100余条。</w:t>
      </w:r>
    </w:p>
    <w:p w14:paraId="3DBABEE1">
      <w:pPr>
        <w:pStyle w:val="2"/>
        <w:keepNext w:val="0"/>
        <w:keepLines w:val="0"/>
        <w:widowControl/>
        <w:suppressLineNumbers w:val="0"/>
        <w:spacing w:line="315" w:lineRule="atLeast"/>
        <w:jc w:val="center"/>
      </w:pPr>
      <w:r>
        <w:drawing>
          <wp:inline distT="0" distB="0" distL="114300" distR="114300">
            <wp:extent cx="4544695" cy="2587625"/>
            <wp:effectExtent l="0" t="0" r="8255" b="3175"/>
            <wp:docPr id="1" name="图片 1"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png"/>
                    <pic:cNvPicPr>
                      <a:picLocks noChangeAspect="1"/>
                    </pic:cNvPicPr>
                  </pic:nvPicPr>
                  <pic:blipFill>
                    <a:blip r:embed="rId4"/>
                    <a:stretch>
                      <a:fillRect/>
                    </a:stretch>
                  </pic:blipFill>
                  <pic:spPr>
                    <a:xfrm>
                      <a:off x="0" y="0"/>
                      <a:ext cx="4544695" cy="2587625"/>
                    </a:xfrm>
                    <a:prstGeom prst="rect">
                      <a:avLst/>
                    </a:prstGeom>
                    <a:noFill/>
                    <a:ln w="9525">
                      <a:noFill/>
                    </a:ln>
                  </pic:spPr>
                </pic:pic>
              </a:graphicData>
            </a:graphic>
          </wp:inline>
        </w:drawing>
      </w:r>
    </w:p>
    <w:p w14:paraId="58257638">
      <w:pPr>
        <w:pStyle w:val="2"/>
        <w:keepNext w:val="0"/>
        <w:keepLines w:val="0"/>
        <w:widowControl/>
        <w:suppressLineNumbers w:val="0"/>
        <w:spacing w:line="315" w:lineRule="atLeast"/>
        <w:jc w:val="center"/>
        <w:rPr>
          <w:rFonts w:hint="eastAsia" w:eastAsiaTheme="minorEastAsia"/>
          <w:lang w:eastAsia="zh-CN"/>
        </w:rPr>
      </w:pPr>
      <w:r>
        <w:rPr>
          <w:rFonts w:hint="eastAsia" w:eastAsiaTheme="minorEastAsia"/>
          <w:lang w:eastAsia="zh-CN"/>
        </w:rPr>
        <w:drawing>
          <wp:inline distT="0" distB="0" distL="114300" distR="114300">
            <wp:extent cx="5273040" cy="2226945"/>
            <wp:effectExtent l="0" t="0" r="3810" b="1905"/>
            <wp:docPr id="2" name="图片 2" descr="c4380f0f28be07cdf020da27e446b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380f0f28be07cdf020da27e446b59"/>
                    <pic:cNvPicPr>
                      <a:picLocks noChangeAspect="1"/>
                    </pic:cNvPicPr>
                  </pic:nvPicPr>
                  <pic:blipFill>
                    <a:blip r:embed="rId5"/>
                    <a:stretch>
                      <a:fillRect/>
                    </a:stretch>
                  </pic:blipFill>
                  <pic:spPr>
                    <a:xfrm>
                      <a:off x="0" y="0"/>
                      <a:ext cx="5273040" cy="2226945"/>
                    </a:xfrm>
                    <a:prstGeom prst="rect">
                      <a:avLst/>
                    </a:prstGeom>
                  </pic:spPr>
                </pic:pic>
              </a:graphicData>
            </a:graphic>
          </wp:inline>
        </w:drawing>
      </w:r>
    </w:p>
    <w:p w14:paraId="195BF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555"/>
      </w:pPr>
      <w:bookmarkStart w:id="9" w:name="_GoBack"/>
      <w:r>
        <w:rPr>
          <w:rStyle w:val="5"/>
          <w:rFonts w:hint="eastAsia" w:ascii="楷体_GB2312" w:eastAsia="楷体_GB2312" w:cs="楷体_GB2312"/>
          <w:spacing w:val="0"/>
          <w:sz w:val="31"/>
          <w:szCs w:val="31"/>
          <w:shd w:val="clear" w:fill="FFFFFF"/>
        </w:rPr>
        <w:t>（二）依申请公开办理情况</w:t>
      </w:r>
    </w:p>
    <w:p w14:paraId="7E54F1A0">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1.收到和处理政府信息公开申请情况。</w:t>
      </w:r>
    </w:p>
    <w:p w14:paraId="78801502">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2024年枣庄高新区党群工作部未收到依申请公开件，处理其他依申请公开0件。与2023年相比，数量保持一致。</w:t>
      </w:r>
    </w:p>
    <w:p w14:paraId="0CC82458">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根据《中华人民共和国政府信息公开条例》，持续规范政府信息公开申请办理程序，满足群众个性化合理信息需求，确保在法定期限内予以答复。</w:t>
      </w:r>
    </w:p>
    <w:p w14:paraId="7C684E1B">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根据财政部、国家发展改革委联合印发的《关于清理规范一批行政事业性收费有关政策的通知》规定，本年度依申请公开政府信息未收取任何费用，包括检索费、复制费（含案卷材料复制费）、邮寄费。</w:t>
      </w:r>
    </w:p>
    <w:p w14:paraId="49CFB334">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2.政府信息公开行政复议、行政诉讼情况。</w:t>
      </w:r>
    </w:p>
    <w:p w14:paraId="58F8B710">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2024年，因政府信息公开被申请行政复议0件，因公民、法人和其他组织认为行政机关政府信息公开工作具体行政行为侵犯其合法权益，提起行政诉讼0件。</w:t>
      </w:r>
    </w:p>
    <w:p w14:paraId="42C82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555"/>
      </w:pPr>
      <w:r>
        <w:rPr>
          <w:rStyle w:val="5"/>
          <w:rFonts w:hint="eastAsia" w:ascii="楷体_GB2312" w:eastAsia="楷体_GB2312" w:cs="楷体_GB2312"/>
          <w:spacing w:val="0"/>
          <w:sz w:val="31"/>
          <w:szCs w:val="31"/>
          <w:shd w:val="clear" w:fill="FFFFFF"/>
        </w:rPr>
        <w:t>（三）政府信息管理</w:t>
      </w:r>
    </w:p>
    <w:p w14:paraId="4111BA91">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按照法定时限及时发布并实时更新法定主动公开内容。明确责任，部门分管政府信息公开工作的领导人员是第一责任人，各行政机关政府信息公开工作机构是法定责任主体，负责推进协调政府信息公开平台建设和管理工作。</w:t>
      </w:r>
    </w:p>
    <w:p w14:paraId="27250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555"/>
      </w:pPr>
      <w:r>
        <w:rPr>
          <w:rStyle w:val="5"/>
          <w:rFonts w:hint="eastAsia" w:ascii="楷体_GB2312" w:eastAsia="楷体_GB2312" w:cs="楷体_GB2312"/>
          <w:spacing w:val="0"/>
          <w:sz w:val="31"/>
          <w:szCs w:val="31"/>
          <w:shd w:val="clear" w:fill="FFFFFF"/>
        </w:rPr>
        <w:t>（四）政府信息公开平台建设</w:t>
      </w:r>
    </w:p>
    <w:p w14:paraId="2606B2BF">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一是信息公开专栏，在门户网站信息公开发布机构职能等信息，方便群众浏览、知晓；二是维护微信公众号等政务新媒体更新等。</w:t>
      </w:r>
    </w:p>
    <w:p w14:paraId="1E827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555"/>
      </w:pPr>
      <w:r>
        <w:rPr>
          <w:rStyle w:val="5"/>
          <w:rFonts w:hint="eastAsia" w:ascii="楷体_GB2312" w:eastAsia="楷体_GB2312" w:cs="楷体_GB2312"/>
          <w:spacing w:val="0"/>
          <w:sz w:val="31"/>
          <w:szCs w:val="31"/>
          <w:shd w:val="clear" w:fill="FFFFFF"/>
        </w:rPr>
        <w:t>（五）监督保障</w:t>
      </w:r>
    </w:p>
    <w:p w14:paraId="18210F84">
      <w:pPr>
        <w:pStyle w:val="2"/>
        <w:keepNext w:val="0"/>
        <w:keepLines w:val="0"/>
        <w:widowControl/>
        <w:suppressLineNumbers w:val="0"/>
        <w:spacing w:line="555" w:lineRule="atLeast"/>
        <w:ind w:left="0" w:right="0" w:firstLine="645"/>
        <w:jc w:val="both"/>
      </w:pPr>
      <w:r>
        <w:rPr>
          <w:rFonts w:hint="eastAsia" w:ascii="仿宋_GB2312" w:eastAsia="仿宋_GB2312" w:cs="仿宋_GB2312"/>
          <w:spacing w:val="0"/>
          <w:sz w:val="31"/>
          <w:szCs w:val="31"/>
          <w:shd w:val="clear" w:fill="FFFFFF"/>
        </w:rPr>
        <w:t>不断强化监督管理机制，积极落实政务公开责任制和目标管理制。对政府网站和政务新媒体信息公开工作进行督导检查，规范信息审核、发布工作。明确工作责任，确保公开内容准确。围绕学习</w:t>
      </w:r>
      <w:r>
        <w:rPr>
          <w:rFonts w:ascii="仿宋_GB2312" w:eastAsia="仿宋_GB2312" w:cs="仿宋_GB2312"/>
          <w:sz w:val="31"/>
          <w:szCs w:val="31"/>
        </w:rPr>
        <w:t>《中华人民共和国政府信息公开条例》</w:t>
      </w:r>
      <w:r>
        <w:rPr>
          <w:rFonts w:hint="eastAsia" w:ascii="仿宋_GB2312" w:eastAsia="仿宋_GB2312" w:cs="仿宋_GB2312"/>
          <w:spacing w:val="0"/>
          <w:sz w:val="31"/>
          <w:szCs w:val="31"/>
          <w:shd w:val="clear" w:fill="FFFFFF"/>
        </w:rPr>
        <w:t>、政府网站与政务新媒体工作开展培训，加强政务公开队伍建设，增强公开意识和业务能力。</w:t>
      </w:r>
    </w:p>
    <w:p w14:paraId="19F08F68">
      <w:pPr>
        <w:pStyle w:val="2"/>
        <w:keepNext w:val="0"/>
        <w:keepLines w:val="0"/>
        <w:widowControl/>
        <w:suppressLineNumbers w:val="0"/>
        <w:spacing w:line="585" w:lineRule="atLeast"/>
        <w:ind w:left="0" w:firstLine="645"/>
      </w:pPr>
      <w:r>
        <w:rPr>
          <w:rFonts w:hint="eastAsia" w:ascii="黑体" w:hAnsi="宋体" w:eastAsia="黑体" w:cs="黑体"/>
          <w:spacing w:val="0"/>
          <w:sz w:val="31"/>
          <w:szCs w:val="31"/>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955"/>
        <w:gridCol w:w="1290"/>
        <w:gridCol w:w="1335"/>
        <w:gridCol w:w="2550"/>
      </w:tblGrid>
      <w:tr w14:paraId="47BAAA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4E61F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第二十条第（一）项</w:t>
            </w:r>
          </w:p>
        </w:tc>
      </w:tr>
      <w:tr w14:paraId="01F5CF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B798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129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79FD84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本年制</w:t>
            </w:r>
          </w:p>
          <w:p w14:paraId="19F69D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发件数</w:t>
            </w:r>
          </w:p>
        </w:tc>
        <w:tc>
          <w:tcPr>
            <w:tcW w:w="1335"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04E9D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本年废</w:t>
            </w:r>
          </w:p>
          <w:p w14:paraId="1DA8F5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止件数</w:t>
            </w:r>
          </w:p>
        </w:tc>
        <w:tc>
          <w:tcPr>
            <w:tcW w:w="2550" w:type="dxa"/>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E3257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现行有效件数</w:t>
            </w:r>
          </w:p>
        </w:tc>
      </w:tr>
      <w:tr w14:paraId="3EA0AE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 w:hRule="atLeast"/>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471F7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规章</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28F626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193874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4591B0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7F83E2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42B68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行政规范性文件</w:t>
            </w:r>
          </w:p>
        </w:tc>
        <w:tc>
          <w:tcPr>
            <w:tcW w:w="1290" w:type="dxa"/>
            <w:tcBorders>
              <w:top w:val="nil"/>
              <w:left w:val="nil"/>
              <w:bottom w:val="outset" w:color="auto" w:sz="6" w:space="0"/>
              <w:right w:val="outset" w:color="auto" w:sz="6" w:space="0"/>
            </w:tcBorders>
            <w:shd w:val="clear" w:color="auto" w:fill="auto"/>
            <w:tcMar>
              <w:left w:w="75" w:type="dxa"/>
              <w:right w:w="75" w:type="dxa"/>
            </w:tcMar>
            <w:vAlign w:val="center"/>
          </w:tcPr>
          <w:p w14:paraId="4A40E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1335" w:type="dxa"/>
            <w:tcBorders>
              <w:top w:val="nil"/>
              <w:left w:val="nil"/>
              <w:bottom w:val="outset" w:color="auto" w:sz="6" w:space="0"/>
              <w:right w:val="outset" w:color="auto" w:sz="6" w:space="0"/>
            </w:tcBorders>
            <w:shd w:val="clear" w:color="auto" w:fill="auto"/>
            <w:tcMar>
              <w:left w:w="75" w:type="dxa"/>
              <w:right w:w="75" w:type="dxa"/>
            </w:tcMar>
            <w:vAlign w:val="center"/>
          </w:tcPr>
          <w:p w14:paraId="4B3975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c>
          <w:tcPr>
            <w:tcW w:w="2550" w:type="dxa"/>
            <w:tcBorders>
              <w:top w:val="nil"/>
              <w:left w:val="nil"/>
              <w:bottom w:val="outset" w:color="auto" w:sz="6" w:space="0"/>
              <w:right w:val="outset" w:color="auto" w:sz="6" w:space="0"/>
            </w:tcBorders>
            <w:shd w:val="clear" w:color="auto" w:fill="auto"/>
            <w:tcMar>
              <w:left w:w="75" w:type="dxa"/>
              <w:right w:w="75" w:type="dxa"/>
            </w:tcMar>
            <w:vAlign w:val="center"/>
          </w:tcPr>
          <w:p w14:paraId="58142A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07D0B4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26DFD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第二十条第（五）项</w:t>
            </w:r>
          </w:p>
        </w:tc>
      </w:tr>
      <w:tr w14:paraId="6A504D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9DBB4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647E8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本年处理决定数量</w:t>
            </w:r>
          </w:p>
        </w:tc>
      </w:tr>
      <w:tr w14:paraId="4D748A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55EC6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行政许可</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786D37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3C6C69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636E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第二十条第（六）项</w:t>
            </w:r>
          </w:p>
        </w:tc>
      </w:tr>
      <w:tr w14:paraId="7D3CED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1D62F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744C20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本年处理决定数量</w:t>
            </w:r>
          </w:p>
        </w:tc>
      </w:tr>
      <w:tr w14:paraId="669FC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2B971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行政处罚</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7F591B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6C930A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DDFE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行政强制</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2FEA78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r w14:paraId="50C5E8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590E7C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第二十条第（八）项</w:t>
            </w:r>
          </w:p>
        </w:tc>
      </w:tr>
      <w:tr w14:paraId="0D3F62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0305C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信息内容</w:t>
            </w:r>
          </w:p>
        </w:tc>
        <w:tc>
          <w:tcPr>
            <w:tcW w:w="5175" w:type="dxa"/>
            <w:gridSpan w:val="3"/>
            <w:tcBorders>
              <w:top w:val="outset" w:color="auto" w:sz="6" w:space="0"/>
              <w:left w:val="nil"/>
              <w:bottom w:val="outset" w:color="auto" w:sz="6" w:space="0"/>
              <w:right w:val="outset" w:color="auto" w:sz="6" w:space="0"/>
            </w:tcBorders>
            <w:shd w:val="clear" w:color="auto" w:fill="auto"/>
            <w:tcMar>
              <w:left w:w="75" w:type="dxa"/>
              <w:right w:w="75" w:type="dxa"/>
            </w:tcMar>
            <w:vAlign w:val="center"/>
          </w:tcPr>
          <w:p w14:paraId="5037D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本年收费金额（单位：万元）</w:t>
            </w:r>
          </w:p>
        </w:tc>
      </w:tr>
      <w:tr w14:paraId="51D48D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color="auto" w:fill="auto"/>
            <w:tcMar>
              <w:left w:w="75" w:type="dxa"/>
              <w:right w:w="75" w:type="dxa"/>
            </w:tcMar>
            <w:vAlign w:val="center"/>
          </w:tcPr>
          <w:p w14:paraId="79282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rPr>
              <w:t>行政事业性收费</w:t>
            </w:r>
          </w:p>
        </w:tc>
        <w:tc>
          <w:tcPr>
            <w:tcW w:w="5175" w:type="dxa"/>
            <w:gridSpan w:val="3"/>
            <w:tcBorders>
              <w:top w:val="nil"/>
              <w:left w:val="nil"/>
              <w:bottom w:val="outset" w:color="auto" w:sz="6" w:space="0"/>
              <w:right w:val="outset" w:color="auto" w:sz="6" w:space="0"/>
            </w:tcBorders>
            <w:shd w:val="clear" w:color="auto" w:fill="auto"/>
            <w:tcMar>
              <w:left w:w="75" w:type="dxa"/>
              <w:right w:w="75" w:type="dxa"/>
            </w:tcMar>
            <w:vAlign w:val="center"/>
          </w:tcPr>
          <w:p w14:paraId="49BF43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rPr>
              <w:t>0</w:t>
            </w:r>
          </w:p>
        </w:tc>
      </w:tr>
    </w:tbl>
    <w:p w14:paraId="11570FA0">
      <w:pPr>
        <w:pStyle w:val="2"/>
        <w:keepNext w:val="0"/>
        <w:keepLines w:val="0"/>
        <w:widowControl/>
        <w:suppressLineNumbers w:val="0"/>
        <w:spacing w:line="585" w:lineRule="atLeast"/>
      </w:pPr>
      <w:r>
        <w:t> </w:t>
      </w:r>
    </w:p>
    <w:p w14:paraId="05C016A1">
      <w:pPr>
        <w:pStyle w:val="2"/>
        <w:keepNext w:val="0"/>
        <w:keepLines w:val="0"/>
        <w:widowControl/>
        <w:suppressLineNumbers w:val="0"/>
        <w:spacing w:line="585" w:lineRule="atLeast"/>
        <w:ind w:left="0" w:firstLine="645"/>
      </w:pPr>
      <w:r>
        <w:rPr>
          <w:rFonts w:hint="eastAsia" w:ascii="黑体" w:hAnsi="宋体" w:eastAsia="黑体" w:cs="黑体"/>
          <w:spacing w:val="0"/>
          <w:sz w:val="31"/>
          <w:szCs w:val="31"/>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30"/>
        <w:gridCol w:w="840"/>
        <w:gridCol w:w="2668"/>
        <w:gridCol w:w="540"/>
        <w:gridCol w:w="553"/>
        <w:gridCol w:w="553"/>
        <w:gridCol w:w="700"/>
        <w:gridCol w:w="673"/>
        <w:gridCol w:w="553"/>
        <w:gridCol w:w="806"/>
      </w:tblGrid>
      <w:tr w14:paraId="14CFFD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1433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5" w:lineRule="atLeast"/>
              <w:ind w:left="0" w:right="0"/>
              <w:jc w:val="center"/>
            </w:pPr>
            <w:r>
              <w:rPr>
                <w:rFonts w:ascii="楷体" w:hAnsi="楷体" w:eastAsia="楷体" w:cs="楷体"/>
                <w:sz w:val="21"/>
                <w:szCs w:val="21"/>
              </w:rPr>
              <w:t>（本列数据的勾稽关系为：第一项加第二项之和，等于第三项加第四项之和）</w:t>
            </w:r>
          </w:p>
        </w:tc>
        <w:tc>
          <w:tcPr>
            <w:tcW w:w="454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6D7F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申请人情况</w:t>
            </w:r>
          </w:p>
        </w:tc>
      </w:tr>
      <w:tr w14:paraId="021962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B12F10">
            <w:pPr>
              <w:rPr>
                <w:rFonts w:hint="eastAsia" w:ascii="宋体"/>
                <w:sz w:val="24"/>
                <w:szCs w:val="24"/>
              </w:rPr>
            </w:pPr>
          </w:p>
        </w:tc>
        <w:tc>
          <w:tcPr>
            <w:tcW w:w="5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205B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自然人</w:t>
            </w:r>
          </w:p>
        </w:tc>
        <w:tc>
          <w:tcPr>
            <w:tcW w:w="313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461B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法人或其他组织</w:t>
            </w:r>
          </w:p>
        </w:tc>
        <w:tc>
          <w:tcPr>
            <w:tcW w:w="85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2BEE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总计</w:t>
            </w:r>
          </w:p>
        </w:tc>
      </w:tr>
      <w:tr w14:paraId="749196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7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DEF7FE">
            <w:pPr>
              <w:rPr>
                <w:rFonts w:hint="eastAsia" w:ascii="宋体"/>
                <w:sz w:val="24"/>
                <w:szCs w:val="24"/>
              </w:rPr>
            </w:pPr>
          </w:p>
        </w:tc>
        <w:tc>
          <w:tcPr>
            <w:tcW w:w="5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67AE88">
            <w:pPr>
              <w:rPr>
                <w:rFonts w:hint="eastAsia" w:ascii="宋体"/>
                <w:sz w:val="24"/>
                <w:szCs w:val="24"/>
              </w:rPr>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DA74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商业企业</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46D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科研机构</w:t>
            </w:r>
          </w:p>
        </w:tc>
        <w:tc>
          <w:tcPr>
            <w:tcW w:w="73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886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社会公益组织</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866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法律服务机构</w:t>
            </w:r>
          </w:p>
        </w:tc>
        <w:tc>
          <w:tcPr>
            <w:tcW w:w="5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3030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其他</w:t>
            </w:r>
          </w:p>
        </w:tc>
        <w:tc>
          <w:tcPr>
            <w:tcW w:w="85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E95908">
            <w:pPr>
              <w:rPr>
                <w:rFonts w:hint="eastAsia" w:ascii="宋体"/>
                <w:sz w:val="24"/>
                <w:szCs w:val="24"/>
              </w:rPr>
            </w:pPr>
          </w:p>
        </w:tc>
      </w:tr>
      <w:tr w14:paraId="33BA1D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jc w:val="center"/>
        </w:trPr>
        <w:tc>
          <w:tcPr>
            <w:tcW w:w="41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79CA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一、</w:t>
            </w:r>
            <w:bookmarkStart w:id="0" w:name="_Hlk66973412"/>
            <w:r>
              <w:rPr>
                <w:rFonts w:hint="eastAsia" w:ascii="黑体" w:hAnsi="宋体" w:eastAsia="黑体" w:cs="黑体"/>
                <w:sz w:val="21"/>
                <w:szCs w:val="21"/>
              </w:rPr>
              <w:t>本年新收政府信息公开申请数量</w:t>
            </w:r>
            <w:bookmarkEnd w:id="0"/>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48CF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36AA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5E23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2B11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6BC9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19F9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C46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402E38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15" w:hRule="atLeast"/>
          <w:jc w:val="center"/>
        </w:trPr>
        <w:tc>
          <w:tcPr>
            <w:tcW w:w="41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B5CA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二、上年结转政府信息公开申请数量</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F1F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910CE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892E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6DE7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313C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1EA6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3D2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4D4E51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7779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三、本年度办理结果</w:t>
            </w:r>
          </w:p>
        </w:tc>
        <w:tc>
          <w:tcPr>
            <w:tcW w:w="37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3E43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（一）予以公开</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CD11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46E2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2AD7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25A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93E1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34C4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A90E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288F0C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AC945F">
            <w:pPr>
              <w:rPr>
                <w:rFonts w:hint="eastAsia" w:ascii="宋体"/>
                <w:sz w:val="24"/>
                <w:szCs w:val="24"/>
              </w:rPr>
            </w:pPr>
          </w:p>
        </w:tc>
        <w:tc>
          <w:tcPr>
            <w:tcW w:w="37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0BA1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（二）部分公开（</w:t>
            </w:r>
            <w:bookmarkStart w:id="1" w:name="_Hlk66973981"/>
            <w:r>
              <w:rPr>
                <w:rFonts w:hint="eastAsia" w:ascii="黑体" w:hAnsi="宋体" w:eastAsia="黑体" w:cs="黑体"/>
                <w:sz w:val="21"/>
                <w:szCs w:val="21"/>
              </w:rPr>
              <w:t>区分处理的，只计这一情形，不计其他情形</w:t>
            </w:r>
            <w:bookmarkEnd w:id="1"/>
            <w:r>
              <w:rPr>
                <w:rFonts w:hint="eastAsia" w:ascii="黑体" w:hAnsi="宋体" w:eastAsia="黑体" w:cs="黑体"/>
                <w:sz w:val="21"/>
                <w:szCs w:val="21"/>
              </w:rPr>
              <w:t>）</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ADBD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71C4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8422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7A5B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6B1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6636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40B8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5D4DAD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9479F4">
            <w:pPr>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C357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（三）不予公开</w:t>
            </w: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19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1.属于国家秘密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3DEF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147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02C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71FB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8BEE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A8F6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42DC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345D5F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7BEC37">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F57E62">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3CC9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2.</w:t>
            </w:r>
            <w:bookmarkStart w:id="2" w:name="_Hlk66974104"/>
            <w:r>
              <w:rPr>
                <w:rFonts w:hint="eastAsia" w:ascii="仿宋_GB2312" w:eastAsia="仿宋_GB2312" w:cs="仿宋_GB2312"/>
                <w:sz w:val="21"/>
                <w:szCs w:val="21"/>
              </w:rPr>
              <w:t>其他法律行政法规禁止公开</w:t>
            </w:r>
            <w:bookmarkEnd w:id="2"/>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788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6EE9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E84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8846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7DBA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600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8E8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21BA54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D3CA5B">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16CEAC">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29EA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3.危及“三安全一稳定”</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1D0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021B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D46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5751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F2E4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934E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1358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05C425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07FF99">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58DFB">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E3E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4.</w:t>
            </w:r>
            <w:bookmarkStart w:id="3" w:name="_Hlk66974290"/>
            <w:r>
              <w:rPr>
                <w:rFonts w:hint="eastAsia" w:ascii="仿宋_GB2312" w:eastAsia="仿宋_GB2312" w:cs="仿宋_GB2312"/>
                <w:sz w:val="21"/>
                <w:szCs w:val="21"/>
              </w:rPr>
              <w:t>保护第三方合法权益</w:t>
            </w:r>
            <w:bookmarkEnd w:id="3"/>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35CF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7CAF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83F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674F6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E89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D9C2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09B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7D0410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9F7C5B">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B40B4F">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1CF0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5.属于三类内部事务信息</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9CED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929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4464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ECE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56B4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F28D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0007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71B44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3DF62B">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BC0CE3">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07D3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6.</w:t>
            </w:r>
            <w:bookmarkStart w:id="4" w:name="_Hlk66974555"/>
            <w:r>
              <w:rPr>
                <w:rFonts w:hint="eastAsia" w:ascii="仿宋_GB2312" w:eastAsia="仿宋_GB2312" w:cs="仿宋_GB2312"/>
                <w:sz w:val="21"/>
                <w:szCs w:val="21"/>
              </w:rPr>
              <w:t>属于四类过程性信息</w:t>
            </w:r>
            <w:bookmarkEnd w:id="4"/>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3BC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E5FF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BCEC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886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443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883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00F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38A852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D27A2F">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F4B847">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F2F5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7.属于行政执法案卷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FFBB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A5F1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BA6B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FDC4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273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A52F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59F4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61A707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936524E">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EF145B">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D09A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8.</w:t>
            </w:r>
            <w:bookmarkStart w:id="5" w:name="_Hlk66975211"/>
            <w:r>
              <w:rPr>
                <w:rFonts w:hint="eastAsia" w:ascii="仿宋_GB2312" w:eastAsia="仿宋_GB2312" w:cs="仿宋_GB2312"/>
                <w:sz w:val="21"/>
                <w:szCs w:val="21"/>
              </w:rPr>
              <w:t>属于行政查询事项</w:t>
            </w:r>
            <w:bookmarkEnd w:id="5"/>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C11A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C425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5531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4F0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32F8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BC16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75E7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4554EA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1B70CF">
            <w:pPr>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DFFC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（四）无法提供</w:t>
            </w: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2C76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1.本机关不掌握相关政府信息</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34FE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D947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2488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FB0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E835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540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09C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0B9999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481368">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4F4777">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0C5A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2.</w:t>
            </w:r>
            <w:bookmarkStart w:id="6" w:name="_Hlk66975392"/>
            <w:r>
              <w:rPr>
                <w:rFonts w:hint="eastAsia" w:ascii="仿宋_GB2312" w:eastAsia="仿宋_GB2312" w:cs="仿宋_GB2312"/>
                <w:sz w:val="21"/>
                <w:szCs w:val="21"/>
              </w:rPr>
              <w:t>没有现成信息需要另行制作</w:t>
            </w:r>
            <w:bookmarkEnd w:id="6"/>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E2B5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7B61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91DB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1390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371E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C9A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47A4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3484BC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FD22CF">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AAB9A3">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1EA0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3.</w:t>
            </w:r>
            <w:bookmarkStart w:id="7" w:name="_Hlk66975466"/>
            <w:r>
              <w:rPr>
                <w:rFonts w:hint="eastAsia" w:ascii="仿宋_GB2312" w:eastAsia="仿宋_GB2312" w:cs="仿宋_GB2312"/>
                <w:sz w:val="21"/>
                <w:szCs w:val="21"/>
              </w:rPr>
              <w:t>补正后申请内容仍不明确</w:t>
            </w:r>
            <w:bookmarkEnd w:id="7"/>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616C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DEE9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5DA4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8271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4863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17A4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3E7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3EDD73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F6C9CF7">
            <w:pPr>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5DE8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（五）不予处理</w:t>
            </w: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BA69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1.</w:t>
            </w:r>
            <w:bookmarkStart w:id="8" w:name="_Hlk66975537"/>
            <w:r>
              <w:rPr>
                <w:rFonts w:hint="eastAsia" w:ascii="仿宋_GB2312" w:eastAsia="仿宋_GB2312" w:cs="仿宋_GB2312"/>
                <w:sz w:val="21"/>
                <w:szCs w:val="21"/>
              </w:rPr>
              <w:t>信访举报投诉类申请</w:t>
            </w:r>
            <w:bookmarkEnd w:id="8"/>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2F73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B177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75AC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918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E07B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45B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4F39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75A3AF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33A1EC">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2BF719">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676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2.重复申请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51A2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D495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BE3B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963D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80E9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2C6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3EF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77756A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321E52">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2A5161">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69EB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3.要求提供公开出版物</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8A8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504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AB9A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8DBA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24BB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356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42C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147109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390" w:hRule="atLeast"/>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6EA475">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F3D0CE">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2557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4.无正当理由大量反复申请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82A8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0D10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ACD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197F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FBB0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DCD5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B03D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6A9D63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7459DF">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91AEF9">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FD50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5.要求行政机关确认或重新出具已获取信息</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48CBB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850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D8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006E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8832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5E8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7BDF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4BC91E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86503E">
            <w:pPr>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24F2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（六）其他处理</w:t>
            </w:r>
          </w:p>
        </w:tc>
        <w:tc>
          <w:tcPr>
            <w:tcW w:w="2925"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40F781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1.申请人无正当理由逾期不补正、行政机关不再处理其政府信息公开申请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3BDF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9D72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8DB3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0FDB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FB8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B656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E095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34AEF0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70FAC8">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EA5FD2">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0C008C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2.申请人逾期未按收费通知要求缴纳费用、行政机关不再处理其政府信息公开申请</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0D2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F78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9B78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071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2B5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267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649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5F4756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B8A9CD">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BCD2D4">
            <w:pPr>
              <w:rPr>
                <w:rFonts w:hint="eastAsia" w:ascii="宋体"/>
                <w:sz w:val="24"/>
                <w:szCs w:val="24"/>
              </w:rPr>
            </w:pPr>
          </w:p>
        </w:tc>
        <w:tc>
          <w:tcPr>
            <w:tcW w:w="2925"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79903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1"/>
                <w:szCs w:val="21"/>
              </w:rPr>
              <w:t>3.其他</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5A9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8E5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037F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C14A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219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51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8C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341DB1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39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99E10F">
            <w:pPr>
              <w:rPr>
                <w:rFonts w:hint="eastAsia" w:ascii="宋体"/>
                <w:sz w:val="24"/>
                <w:szCs w:val="24"/>
              </w:rPr>
            </w:pPr>
          </w:p>
        </w:tc>
        <w:tc>
          <w:tcPr>
            <w:tcW w:w="372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9151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（七）总计</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984D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95DA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1C04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2BB0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C932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A63C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5E6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r w14:paraId="18183C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411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2AC2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1"/>
                <w:szCs w:val="21"/>
              </w:rPr>
              <w:t>四、结转下年度继续办理</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F45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58C1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80B2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3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7938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871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B67D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0647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r>
    </w:tbl>
    <w:p w14:paraId="480C4DB6">
      <w:pPr>
        <w:pStyle w:val="2"/>
        <w:keepNext w:val="0"/>
        <w:keepLines w:val="0"/>
        <w:widowControl/>
        <w:suppressLineNumbers w:val="0"/>
        <w:spacing w:line="585" w:lineRule="atLeast"/>
        <w:ind w:left="0" w:firstLine="645"/>
      </w:pPr>
      <w:r>
        <w:rPr>
          <w:rFonts w:hint="eastAsia" w:ascii="黑体" w:hAnsi="宋体" w:eastAsia="黑体" w:cs="黑体"/>
          <w:spacing w:val="0"/>
          <w:sz w:val="31"/>
          <w:szCs w:val="31"/>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15"/>
        <w:gridCol w:w="570"/>
        <w:gridCol w:w="598"/>
        <w:gridCol w:w="570"/>
        <w:gridCol w:w="418"/>
        <w:gridCol w:w="543"/>
        <w:gridCol w:w="584"/>
        <w:gridCol w:w="584"/>
        <w:gridCol w:w="584"/>
        <w:gridCol w:w="598"/>
        <w:gridCol w:w="584"/>
        <w:gridCol w:w="585"/>
        <w:gridCol w:w="585"/>
        <w:gridCol w:w="585"/>
        <w:gridCol w:w="613"/>
      </w:tblGrid>
      <w:tr w14:paraId="30D41B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AA2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8FC7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行政诉讼</w:t>
            </w:r>
          </w:p>
        </w:tc>
      </w:tr>
      <w:tr w14:paraId="19A12C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6325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w:t>
            </w:r>
          </w:p>
          <w:p w14:paraId="20492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维持</w:t>
            </w:r>
          </w:p>
        </w:tc>
        <w:tc>
          <w:tcPr>
            <w:tcW w:w="5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975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结果纠正</w:t>
            </w:r>
          </w:p>
        </w:tc>
        <w:tc>
          <w:tcPr>
            <w:tcW w:w="61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2D99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其他结果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392A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尚未</w:t>
            </w:r>
          </w:p>
          <w:p w14:paraId="5A8516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审结</w:t>
            </w:r>
          </w:p>
        </w:tc>
        <w:tc>
          <w:tcPr>
            <w:tcW w:w="42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2B07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w:t>
            </w:r>
          </w:p>
          <w:p w14:paraId="1DB65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25EA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1DF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复议后起诉</w:t>
            </w:r>
          </w:p>
        </w:tc>
      </w:tr>
      <w:tr w14:paraId="7BC2DEF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FEF515">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D1D83">
            <w:pPr>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5036FC">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2FDF1A">
            <w:pPr>
              <w:rPr>
                <w:rFonts w:hint="eastAsia" w:ascii="宋体"/>
                <w:sz w:val="24"/>
                <w:szCs w:val="24"/>
              </w:rPr>
            </w:pPr>
          </w:p>
        </w:tc>
        <w:tc>
          <w:tcPr>
            <w:tcW w:w="42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9D7BCC">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B208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0A9F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5499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其他</w:t>
            </w:r>
          </w:p>
          <w:p w14:paraId="671FA0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543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尚未</w:t>
            </w:r>
          </w:p>
          <w:p w14:paraId="6038AB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6F80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7010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F38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w:t>
            </w:r>
          </w:p>
          <w:p w14:paraId="7CD85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212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其他</w:t>
            </w:r>
          </w:p>
          <w:p w14:paraId="608F16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54C5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A89E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总计</w:t>
            </w:r>
          </w:p>
        </w:tc>
      </w:tr>
      <w:tr w14:paraId="326F4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2CF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1B60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9414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35A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D74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524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1DB4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153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4DC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CFFB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E38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9468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5B3B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778F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2AD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19"/>
                <w:szCs w:val="19"/>
              </w:rPr>
              <w:t>0</w:t>
            </w:r>
          </w:p>
        </w:tc>
      </w:tr>
    </w:tbl>
    <w:p w14:paraId="75872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right="0"/>
      </w:pPr>
      <w:r>
        <w:t> </w:t>
      </w:r>
    </w:p>
    <w:p w14:paraId="25ACEE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黑体" w:hAnsi="宋体" w:eastAsia="黑体" w:cs="黑体"/>
          <w:spacing w:val="0"/>
          <w:sz w:val="31"/>
          <w:szCs w:val="31"/>
          <w:shd w:val="clear" w:fill="FFFFFF"/>
        </w:rPr>
        <w:t>五、政府信息公开工作存在的主要问题及改进情况</w:t>
      </w:r>
    </w:p>
    <w:p w14:paraId="6E739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目前存在的主要问题：一是对政务公开工作的指导和监督有待进一步加强；二是宣传不够深入，公众参与度不够高；三是</w:t>
      </w:r>
      <w:r>
        <w:rPr>
          <w:rFonts w:hint="eastAsia" w:ascii="仿宋_GB2312" w:eastAsia="仿宋_GB2312" w:cs="仿宋_GB2312"/>
          <w:spacing w:val="0"/>
          <w:sz w:val="31"/>
          <w:szCs w:val="31"/>
          <w:shd w:val="clear" w:fill="FFFFFF"/>
          <w:lang w:val="en-US" w:eastAsia="zh-CN"/>
        </w:rPr>
        <w:t>对负责</w:t>
      </w:r>
      <w:r>
        <w:rPr>
          <w:rFonts w:hint="eastAsia" w:ascii="仿宋_GB2312" w:eastAsia="仿宋_GB2312" w:cs="仿宋_GB2312"/>
          <w:spacing w:val="0"/>
          <w:sz w:val="31"/>
          <w:szCs w:val="31"/>
          <w:shd w:val="clear" w:fill="FFFFFF"/>
        </w:rPr>
        <w:t>政务公开</w:t>
      </w:r>
      <w:r>
        <w:rPr>
          <w:rFonts w:hint="eastAsia" w:ascii="仿宋_GB2312" w:eastAsia="仿宋_GB2312" w:cs="仿宋_GB2312"/>
          <w:spacing w:val="0"/>
          <w:sz w:val="31"/>
          <w:szCs w:val="31"/>
          <w:shd w:val="clear" w:fill="FFFFFF"/>
          <w:lang w:val="en-US" w:eastAsia="zh-CN"/>
        </w:rPr>
        <w:t>工作的人员</w:t>
      </w:r>
      <w:r>
        <w:rPr>
          <w:rFonts w:hint="eastAsia" w:ascii="仿宋_GB2312" w:eastAsia="仿宋_GB2312" w:cs="仿宋_GB2312"/>
          <w:spacing w:val="0"/>
          <w:sz w:val="31"/>
          <w:szCs w:val="31"/>
          <w:shd w:val="clear" w:fill="FFFFFF"/>
        </w:rPr>
        <w:t>培训频次较低。</w:t>
      </w:r>
    </w:p>
    <w:p w14:paraId="3752F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着重从以下几个方面改进提升：一是强化政务公开工作的指导和监督，确保相关信息应公开尽公开、准确及时；二是认真贯彻落实国务院和省政府关于政府信息公开工作的部署和要求，积极加大政策宣传力度，多渠道扩大民众的知晓度和参与度；三是严格落实网络意识形态工作责任制，加强培训频次，持续高效地扎实推动政务公开高质量发展。</w:t>
      </w:r>
    </w:p>
    <w:p w14:paraId="7B582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黑体" w:hAnsi="宋体" w:eastAsia="黑体" w:cs="黑体"/>
          <w:spacing w:val="0"/>
          <w:sz w:val="31"/>
          <w:szCs w:val="31"/>
          <w:shd w:val="clear" w:fill="FFFFFF"/>
        </w:rPr>
        <w:t>六、其他需要报告的事项</w:t>
      </w:r>
    </w:p>
    <w:p w14:paraId="446FF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1.本年度政府信息公开申请未达到《政府信息公开信息处理费管理办法》（国办函〔2020〕109号）所规定的信息处理费收费标准，故未收取信息处理费。</w:t>
      </w:r>
    </w:p>
    <w:p w14:paraId="6E3E7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2.落实上级政务公开重点工作情况。坚持树</w:t>
      </w:r>
      <w:r>
        <w:rPr>
          <w:rFonts w:hint="eastAsia" w:ascii="仿宋_GB2312" w:eastAsia="仿宋_GB2312" w:cs="仿宋_GB2312"/>
          <w:spacing w:val="0"/>
          <w:sz w:val="31"/>
          <w:szCs w:val="31"/>
          <w:shd w:val="clear" w:fill="FFFFFF"/>
        </w:rPr>
        <w:t>牢</w:t>
      </w:r>
      <w:r>
        <w:rPr>
          <w:rFonts w:hint="eastAsia" w:ascii="仿宋_GB2312" w:eastAsia="仿宋_GB2312" w:cs="仿宋_GB2312"/>
          <w:spacing w:val="0"/>
          <w:sz w:val="31"/>
          <w:szCs w:val="31"/>
          <w:shd w:val="clear" w:fill="FFFFFF"/>
        </w:rPr>
        <w:t>服务理念、宗旨意识，以提高群众获得感、满意度为目标，积极配合各级单位做好政府信息公开有关工作。</w:t>
      </w:r>
    </w:p>
    <w:p w14:paraId="44EA9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3.本行政机关人大代表建议和政协提案办理结果公开情况。2024年全年接到市人大常委会交办的人大代表建议办理工作0件，收到市政协十一届三次会议提案1件，均已在规定时限内答复完毕，办复率100%。</w:t>
      </w:r>
    </w:p>
    <w:p w14:paraId="21610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4.本行政机关年度政务公开工作创新情况。严格要求，做好政务公开工作，提高政务公开信息的内容质量。加强政务公开信息的宣传工作，利用微信公众号，及时发布相关信息，满足群众的需求。</w:t>
      </w:r>
    </w:p>
    <w:p w14:paraId="58ABF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5.本行政机关政府信息公开工作年度报告数据统计需要说明的事项。本报告中所列数据的统计时限为2024年1月1日至2024年12月31日。</w:t>
      </w:r>
    </w:p>
    <w:p w14:paraId="29E0D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6.本行政机关认为需要报告的其他事项。无。</w:t>
      </w:r>
    </w:p>
    <w:p w14:paraId="5B848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555" w:lineRule="atLeast"/>
        <w:ind w:left="0" w:right="0" w:firstLine="645"/>
      </w:pPr>
      <w:r>
        <w:rPr>
          <w:rFonts w:hint="eastAsia" w:ascii="仿宋_GB2312" w:eastAsia="仿宋_GB2312" w:cs="仿宋_GB2312"/>
          <w:spacing w:val="0"/>
          <w:sz w:val="31"/>
          <w:szCs w:val="31"/>
          <w:shd w:val="clear" w:fill="FFFFFF"/>
        </w:rPr>
        <w:t>7.其他有关文件专门要求通过政府信息公开工作年度报告予以报告的事项。无。</w:t>
      </w:r>
    </w:p>
    <w:bookmarkEnd w:id="9"/>
    <w:p w14:paraId="63CB6757">
      <w:pPr>
        <w:pStyle w:val="2"/>
        <w:keepNext w:val="0"/>
        <w:keepLines w:val="0"/>
        <w:widowControl/>
        <w:suppressLineNumbers w:val="0"/>
        <w:spacing w:line="315" w:lineRule="atLeast"/>
      </w:pPr>
      <w:r>
        <w:t> </w:t>
      </w:r>
    </w:p>
    <w:p w14:paraId="2CADDCAA">
      <w:pPr>
        <w:pStyle w:val="2"/>
        <w:keepNext w:val="0"/>
        <w:keepLines w:val="0"/>
        <w:widowControl/>
        <w:suppressLineNumbers w:val="0"/>
        <w:spacing w:line="315" w:lineRule="atLeast"/>
      </w:pPr>
    </w:p>
    <w:p w14:paraId="7FFFAA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D37F5"/>
    <w:rsid w:val="5304139A"/>
    <w:rsid w:val="56493397"/>
    <w:rsid w:val="589E5AC5"/>
    <w:rsid w:val="65766C11"/>
    <w:rsid w:val="69AF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2885</Words>
  <Characters>3031</Characters>
  <Lines>0</Lines>
  <Paragraphs>0</Paragraphs>
  <TotalTime>23</TotalTime>
  <ScaleCrop>false</ScaleCrop>
  <LinksUpToDate>false</LinksUpToDate>
  <CharactersWithSpaces>3031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2025-01-22T08:02:00Z</dcterms:created>
  <dc:creator>HP</dc:creator>
  <cp:lastModifiedBy>.</cp:lastModifiedBy>
  <dcterms:modified xsi:type="dcterms:W3CDTF">2025-01-22T09:10:50Z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eyJoZGlkIjoiYzI1ZThmOGY0NGU3NTE3ZjEwZjE0ZDNhY2FiNTc4YWEiLCJ1c2VySWQiOiI1Mzk1ODQ5MjUifQ==</vt:lpwstr>
  </property>
  <property fmtid="{D5CDD505-2E9C-101B-9397-08002B2CF9AE}" pid="4" name="ICV">
    <vt:lpwstr>5A2034D1122B4E469ECD86056C243186_12</vt:lpwstr>
  </property>
</Properties>
</file>