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EB53E">
      <w:pPr>
        <w:keepNext w:val="0"/>
        <w:keepLines w:val="0"/>
        <w:pageBreakBefore w:val="0"/>
        <w:widowControl/>
        <w:overflowPunct/>
        <w:topLinePunct w:val="0"/>
        <w:bidi w:val="0"/>
        <w:spacing w:before="3" w:afterAutospacing="0" w:line="560" w:lineRule="exact"/>
        <w:ind w:right="914"/>
        <w:jc w:val="center"/>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19"/>
          <w:sz w:val="43"/>
          <w:szCs w:val="43"/>
        </w:rPr>
        <w:t>枣庄</w:t>
      </w:r>
      <w:r>
        <w:rPr>
          <w:rFonts w:hint="eastAsia" w:ascii="方正小标宋简体" w:hAnsi="方正小标宋简体" w:eastAsia="方正小标宋简体" w:cs="方正小标宋简体"/>
          <w:spacing w:val="-19"/>
          <w:sz w:val="43"/>
          <w:szCs w:val="43"/>
          <w:lang w:eastAsia="zh-CN"/>
        </w:rPr>
        <w:t>高新区消防救援大队</w:t>
      </w:r>
      <w:r>
        <w:rPr>
          <w:rFonts w:ascii="方正小标宋简体" w:hAnsi="方正小标宋简体" w:eastAsia="方正小标宋简体" w:cs="方正小标宋简体"/>
          <w:spacing w:val="-34"/>
          <w:sz w:val="43"/>
          <w:szCs w:val="43"/>
        </w:rPr>
        <w:t xml:space="preserve"> </w:t>
      </w:r>
      <w:r>
        <w:rPr>
          <w:rFonts w:ascii="方正小标宋简体" w:hAnsi="方正小标宋简体" w:eastAsia="方正小标宋简体" w:cs="方正小标宋简体"/>
          <w:spacing w:val="-19"/>
          <w:sz w:val="43"/>
          <w:szCs w:val="43"/>
        </w:rPr>
        <w:t>2024 年政府信息公开工作</w:t>
      </w:r>
      <w:r>
        <w:rPr>
          <w:rFonts w:ascii="方正小标宋简体" w:hAnsi="方正小标宋简体" w:eastAsia="方正小标宋简体" w:cs="方正小标宋简体"/>
          <w:spacing w:val="-1"/>
          <w:sz w:val="43"/>
          <w:szCs w:val="43"/>
        </w:rPr>
        <w:t>年度报告</w:t>
      </w:r>
    </w:p>
    <w:p w14:paraId="265A3411">
      <w:pPr>
        <w:keepNext w:val="0"/>
        <w:keepLines w:val="0"/>
        <w:pageBreakBefore w:val="0"/>
        <w:widowControl/>
        <w:overflowPunct/>
        <w:topLinePunct w:val="0"/>
        <w:bidi w:val="0"/>
        <w:spacing w:afterAutospacing="0" w:line="560" w:lineRule="exact"/>
        <w:rPr>
          <w:rFonts w:ascii="Arial"/>
          <w:sz w:val="21"/>
        </w:rPr>
      </w:pPr>
    </w:p>
    <w:p w14:paraId="43B65A4D">
      <w:pPr>
        <w:pStyle w:val="3"/>
        <w:keepNext w:val="0"/>
        <w:keepLines w:val="0"/>
        <w:pageBreakBefore w:val="0"/>
        <w:widowControl/>
        <w:suppressLineNumbers w:val="0"/>
        <w:overflowPunct/>
        <w:topLinePunct w:val="0"/>
        <w:bidi w:val="0"/>
        <w:spacing w:before="188" w:beforeAutospacing="0" w:after="0" w:afterAutospacing="0" w:line="560" w:lineRule="exact"/>
        <w:ind w:firstLine="628" w:firstLineChars="200"/>
        <w:jc w:val="both"/>
        <w:rPr>
          <w:sz w:val="31"/>
          <w:szCs w:val="31"/>
        </w:rPr>
      </w:pPr>
      <w:r>
        <w:rPr>
          <w:rFonts w:hint="eastAsia" w:ascii="仿宋" w:hAnsi="仿宋" w:eastAsia="仿宋" w:cs="仿宋"/>
          <w:i w:val="0"/>
          <w:iCs w:val="0"/>
          <w:caps w:val="0"/>
          <w:color w:val="000000"/>
          <w:spacing w:val="2"/>
          <w:sz w:val="31"/>
          <w:szCs w:val="31"/>
        </w:rPr>
        <w:t>本报告根据《中华人民共和国政府信息公开条例》《中华人民共和国政府信息公开工作年度报告格式》的通知（国办公开办函〔2021〕30号）和省、市有关工作要求，由枣庄高新区消防救援大队编制。全文包括总体情况、主动公开政府信息情况、收到和处理政府信息公开申请情况、因政府信息公开工作被申请行政复议和提起行政诉讼情况、政府信息公开工作存在的主要问题及改进情况和其他需要报告的事项。本年度报告中所列数据的统计期限自2024年1月1日起至2024年12月31日止。本报告全文将在枣庄高新区官网（http://www.zzctp.gov.cn/）“政府信息公开年度报告”专栏公布。如对本报告有疑问，请与枣庄高新区消防救援大队办公室联系（联系电话:0632-7523559，电子邮箱:1819690976@qq.com）。</w:t>
      </w:r>
    </w:p>
    <w:p w14:paraId="11A46B2C">
      <w:pPr>
        <w:pStyle w:val="3"/>
        <w:keepNext w:val="0"/>
        <w:keepLines w:val="0"/>
        <w:pageBreakBefore w:val="0"/>
        <w:widowControl/>
        <w:suppressLineNumbers w:val="0"/>
        <w:overflowPunct/>
        <w:topLinePunct w:val="0"/>
        <w:bidi w:val="0"/>
        <w:spacing w:before="101" w:beforeAutospacing="0" w:after="0" w:afterAutospacing="0" w:line="560" w:lineRule="exact"/>
        <w:ind w:left="430"/>
        <w:rPr>
          <w:sz w:val="31"/>
          <w:szCs w:val="31"/>
        </w:rPr>
      </w:pPr>
      <w:r>
        <w:rPr>
          <w:rFonts w:ascii="黑体" w:hAnsi="宋体" w:eastAsia="黑体" w:cs="黑体"/>
          <w:i w:val="0"/>
          <w:iCs w:val="0"/>
          <w:caps w:val="0"/>
          <w:color w:val="333333"/>
          <w:spacing w:val="-3"/>
          <w:sz w:val="31"/>
          <w:szCs w:val="31"/>
        </w:rPr>
        <w:t>一、</w:t>
      </w:r>
      <w:r>
        <w:rPr>
          <w:rFonts w:hint="eastAsia" w:ascii="黑体" w:hAnsi="宋体" w:eastAsia="黑体" w:cs="黑体"/>
          <w:i w:val="0"/>
          <w:iCs w:val="0"/>
          <w:caps w:val="0"/>
          <w:color w:val="333333"/>
          <w:spacing w:val="-3"/>
          <w:sz w:val="31"/>
          <w:szCs w:val="31"/>
        </w:rPr>
        <w:t>总体情况</w:t>
      </w:r>
    </w:p>
    <w:p w14:paraId="145797D2">
      <w:pPr>
        <w:pStyle w:val="3"/>
        <w:keepNext w:val="0"/>
        <w:keepLines w:val="0"/>
        <w:pageBreakBefore w:val="0"/>
        <w:widowControl/>
        <w:suppressLineNumbers w:val="0"/>
        <w:overflowPunct/>
        <w:topLinePunct w:val="0"/>
        <w:bidi w:val="0"/>
        <w:spacing w:before="188" w:beforeAutospacing="0" w:after="0" w:afterAutospacing="0" w:line="560" w:lineRule="exact"/>
        <w:ind w:left="0" w:firstLine="638"/>
        <w:jc w:val="both"/>
        <w:rPr>
          <w:sz w:val="31"/>
          <w:szCs w:val="31"/>
        </w:rPr>
      </w:pPr>
      <w:r>
        <w:rPr>
          <w:rFonts w:hint="eastAsia" w:ascii="仿宋" w:hAnsi="仿宋" w:eastAsia="仿宋" w:cs="仿宋"/>
          <w:i w:val="0"/>
          <w:iCs w:val="0"/>
          <w:caps w:val="0"/>
          <w:color w:val="000000"/>
          <w:spacing w:val="2"/>
          <w:sz w:val="31"/>
          <w:szCs w:val="31"/>
        </w:rPr>
        <w:t>2024年，我大队在区党工委、管委会的正确领导下，忠诚践行习近平新时代中国特色社会主义思想、授旗训词精神和回信重要指示，坚持以人民为中心的发展思想，聚焦履行应急救援主力军和国家队职责使命，主动融入经开区发展大局，认真贯彻落实《条例》和政务公开系列工作部署，建立健全了政府信息公开保密审查制度，对一些群众比较关心关注的热点工作，做到了及时公布动态、最新政策和规定。</w:t>
      </w:r>
    </w:p>
    <w:p w14:paraId="3AD38AEE">
      <w:pPr>
        <w:pStyle w:val="3"/>
        <w:keepNext w:val="0"/>
        <w:keepLines w:val="0"/>
        <w:pageBreakBefore w:val="0"/>
        <w:widowControl/>
        <w:suppressLineNumbers w:val="0"/>
        <w:overflowPunct/>
        <w:topLinePunct w:val="0"/>
        <w:bidi w:val="0"/>
        <w:spacing w:afterAutospacing="0" w:line="560" w:lineRule="exact"/>
        <w:rPr>
          <w:sz w:val="31"/>
          <w:szCs w:val="31"/>
        </w:rPr>
      </w:pPr>
      <w:r>
        <w:rPr>
          <w:rFonts w:hint="eastAsia" w:ascii="仿宋" w:hAnsi="仿宋" w:eastAsia="仿宋" w:cs="仿宋"/>
          <w:i w:val="0"/>
          <w:iCs w:val="0"/>
          <w:caps w:val="0"/>
          <w:color w:val="000000"/>
          <w:spacing w:val="0"/>
          <w:sz w:val="31"/>
          <w:szCs w:val="31"/>
        </w:rPr>
        <w:t>   1、主动公开方面。2024年1月1日至2024年12月31日高新区消防救援大队全年在政务公开网站中主动发布信息57条，主要内容有部门信息、部门办公会议公开及解读、政策公开及解读等。</w:t>
      </w:r>
    </w:p>
    <w:p w14:paraId="6088E775">
      <w:pPr>
        <w:pStyle w:val="3"/>
        <w:keepNext w:val="0"/>
        <w:keepLines w:val="0"/>
        <w:pageBreakBefore w:val="0"/>
        <w:widowControl/>
        <w:suppressLineNumbers w:val="0"/>
        <w:overflowPunct/>
        <w:topLinePunct w:val="0"/>
        <w:bidi w:val="0"/>
        <w:spacing w:before="188" w:beforeAutospacing="0" w:after="0" w:afterAutospacing="0" w:line="560" w:lineRule="exact"/>
        <w:jc w:val="both"/>
        <w:rPr>
          <w:sz w:val="31"/>
          <w:szCs w:val="31"/>
        </w:rPr>
      </w:pPr>
      <w:r>
        <w:rPr>
          <w:rFonts w:ascii="仿宋_GB2312" w:hAnsi="仿宋_GB2312" w:eastAsia="仿宋_GB2312" w:cs="仿宋_GB2312"/>
          <w:i w:val="0"/>
          <w:iCs w:val="0"/>
          <w:caps w:val="0"/>
          <w:color w:val="000000"/>
          <w:spacing w:val="2"/>
          <w:sz w:val="31"/>
          <w:szCs w:val="31"/>
        </w:rPr>
        <w:t>        </w:t>
      </w:r>
      <w:r>
        <w:rPr>
          <w:rFonts w:ascii="sans-serif" w:hAnsi="sans-serif" w:eastAsia="sans-serif" w:cs="sans-serif"/>
          <w:i w:val="0"/>
          <w:iCs w:val="0"/>
          <w:caps w:val="0"/>
          <w:color w:val="000000"/>
          <w:spacing w:val="0"/>
          <w:sz w:val="31"/>
          <w:szCs w:val="31"/>
        </w:rPr>
        <w:drawing>
          <wp:inline distT="0" distB="0" distL="114300" distR="114300">
            <wp:extent cx="4076700" cy="2876550"/>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7"/>
                    <a:stretch>
                      <a:fillRect/>
                    </a:stretch>
                  </pic:blipFill>
                  <pic:spPr>
                    <a:xfrm>
                      <a:off x="0" y="0"/>
                      <a:ext cx="4076700" cy="2876550"/>
                    </a:xfrm>
                    <a:prstGeom prst="rect">
                      <a:avLst/>
                    </a:prstGeom>
                    <a:noFill/>
                    <a:ln w="9525">
                      <a:noFill/>
                    </a:ln>
                  </pic:spPr>
                </pic:pic>
              </a:graphicData>
            </a:graphic>
          </wp:inline>
        </w:drawing>
      </w:r>
    </w:p>
    <w:p w14:paraId="6993526F">
      <w:pPr>
        <w:pStyle w:val="3"/>
        <w:keepNext w:val="0"/>
        <w:keepLines w:val="0"/>
        <w:pageBreakBefore w:val="0"/>
        <w:widowControl/>
        <w:suppressLineNumbers w:val="0"/>
        <w:overflowPunct/>
        <w:topLinePunct w:val="0"/>
        <w:bidi w:val="0"/>
        <w:spacing w:before="188" w:beforeAutospacing="0" w:after="0" w:afterAutospacing="0" w:line="560" w:lineRule="exact"/>
        <w:jc w:val="both"/>
        <w:rPr>
          <w:sz w:val="31"/>
          <w:szCs w:val="31"/>
        </w:rPr>
      </w:pPr>
      <w:r>
        <w:rPr>
          <w:rFonts w:hint="default" w:ascii="sans-serif" w:hAnsi="sans-serif" w:eastAsia="sans-serif" w:cs="sans-serif"/>
          <w:i w:val="0"/>
          <w:iCs w:val="0"/>
          <w:caps w:val="0"/>
          <w:color w:val="000000"/>
          <w:spacing w:val="0"/>
          <w:sz w:val="31"/>
          <w:szCs w:val="31"/>
        </w:rPr>
        <w:drawing>
          <wp:inline distT="0" distB="0" distL="114300" distR="114300">
            <wp:extent cx="5467350" cy="3467100"/>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8"/>
                    <a:stretch>
                      <a:fillRect/>
                    </a:stretch>
                  </pic:blipFill>
                  <pic:spPr>
                    <a:xfrm>
                      <a:off x="0" y="0"/>
                      <a:ext cx="5467350" cy="3467100"/>
                    </a:xfrm>
                    <a:prstGeom prst="rect">
                      <a:avLst/>
                    </a:prstGeom>
                    <a:noFill/>
                    <a:ln w="9525">
                      <a:noFill/>
                    </a:ln>
                  </pic:spPr>
                </pic:pic>
              </a:graphicData>
            </a:graphic>
          </wp:inline>
        </w:drawing>
      </w:r>
    </w:p>
    <w:p w14:paraId="5A2F6D32">
      <w:pPr>
        <w:pStyle w:val="3"/>
        <w:keepNext w:val="0"/>
        <w:keepLines w:val="0"/>
        <w:pageBreakBefore w:val="0"/>
        <w:widowControl/>
        <w:suppressLineNumbers w:val="0"/>
        <w:overflowPunct/>
        <w:topLinePunct w:val="0"/>
        <w:bidi w:val="0"/>
        <w:spacing w:before="188" w:beforeAutospacing="0" w:after="0" w:afterAutospacing="0" w:line="560" w:lineRule="exact"/>
        <w:jc w:val="both"/>
        <w:rPr>
          <w:sz w:val="31"/>
          <w:szCs w:val="31"/>
        </w:rPr>
      </w:pPr>
      <w:r>
        <w:rPr>
          <w:rFonts w:ascii="仿宋_GB2312" w:hAnsi="仿宋_GB2312" w:eastAsia="仿宋_GB2312" w:cs="仿宋_GB2312"/>
          <w:i w:val="0"/>
          <w:iCs w:val="0"/>
          <w:caps w:val="0"/>
          <w:color w:val="000000"/>
          <w:spacing w:val="2"/>
          <w:sz w:val="31"/>
          <w:szCs w:val="31"/>
        </w:rPr>
        <w:t> </w:t>
      </w:r>
    </w:p>
    <w:p w14:paraId="3798E9E3">
      <w:pPr>
        <w:pStyle w:val="3"/>
        <w:keepNext w:val="0"/>
        <w:keepLines w:val="0"/>
        <w:pageBreakBefore w:val="0"/>
        <w:widowControl/>
        <w:suppressLineNumbers w:val="0"/>
        <w:overflowPunct/>
        <w:topLinePunct w:val="0"/>
        <w:bidi w:val="0"/>
        <w:spacing w:before="188" w:beforeAutospacing="0" w:after="0" w:afterAutospacing="0" w:line="560" w:lineRule="exact"/>
        <w:ind w:left="0" w:firstLine="638"/>
        <w:jc w:val="both"/>
        <w:rPr>
          <w:sz w:val="31"/>
          <w:szCs w:val="31"/>
        </w:rPr>
      </w:pPr>
      <w:r>
        <w:rPr>
          <w:rFonts w:hint="eastAsia" w:ascii="仿宋" w:hAnsi="仿宋" w:eastAsia="仿宋" w:cs="仿宋"/>
          <w:i w:val="0"/>
          <w:iCs w:val="0"/>
          <w:caps w:val="0"/>
          <w:color w:val="000000"/>
          <w:spacing w:val="2"/>
          <w:sz w:val="31"/>
          <w:szCs w:val="31"/>
        </w:rPr>
        <w:t>2.依申请公开工作方面。2024年度，高新区消防救援大队</w:t>
      </w:r>
      <w:r>
        <w:rPr>
          <w:rFonts w:hint="eastAsia" w:ascii="仿宋_GB2312" w:hAnsi="sans-serif" w:eastAsia="仿宋_GB2312" w:cs="仿宋_GB2312"/>
          <w:i w:val="0"/>
          <w:iCs w:val="0"/>
          <w:caps w:val="0"/>
          <w:color w:val="000000"/>
          <w:spacing w:val="0"/>
          <w:sz w:val="31"/>
          <w:szCs w:val="31"/>
        </w:rPr>
        <w:t>认真执行《中华人民共和国政府信息公开条例》，严格规范依申请公开办理流程，</w:t>
      </w:r>
      <w:r>
        <w:rPr>
          <w:rFonts w:hint="eastAsia" w:ascii="仿宋" w:hAnsi="仿宋" w:eastAsia="仿宋" w:cs="仿宋"/>
          <w:i w:val="0"/>
          <w:iCs w:val="0"/>
          <w:caps w:val="0"/>
          <w:color w:val="000000"/>
          <w:spacing w:val="2"/>
          <w:sz w:val="31"/>
          <w:szCs w:val="31"/>
        </w:rPr>
        <w:t>收到申请数0件，其中，网络申请数0件，信函申请数0件，按时办结数0件。接收数量较2023年无变化。2024年，因政府信息公开被申请行政复议0件，因公民、法人和其他组织认为行政机关政府信息公开工作具体行政行为侵犯其合法权益，提起行政诉讼0件。</w:t>
      </w:r>
    </w:p>
    <w:p w14:paraId="0B9D40C5">
      <w:pPr>
        <w:pStyle w:val="3"/>
        <w:keepNext w:val="0"/>
        <w:keepLines w:val="0"/>
        <w:pageBreakBefore w:val="0"/>
        <w:widowControl/>
        <w:suppressLineNumbers w:val="0"/>
        <w:overflowPunct/>
        <w:topLinePunct w:val="0"/>
        <w:bidi w:val="0"/>
        <w:spacing w:before="188" w:beforeAutospacing="0" w:after="0" w:afterAutospacing="0" w:line="560" w:lineRule="exact"/>
        <w:ind w:left="0" w:firstLine="638"/>
        <w:jc w:val="both"/>
        <w:rPr>
          <w:sz w:val="31"/>
          <w:szCs w:val="31"/>
        </w:rPr>
      </w:pPr>
      <w:r>
        <w:rPr>
          <w:rFonts w:hint="eastAsia" w:ascii="仿宋" w:hAnsi="仿宋" w:eastAsia="仿宋" w:cs="仿宋"/>
          <w:i w:val="0"/>
          <w:iCs w:val="0"/>
          <w:caps w:val="0"/>
          <w:color w:val="000000"/>
          <w:spacing w:val="2"/>
          <w:sz w:val="31"/>
          <w:szCs w:val="31"/>
        </w:rPr>
        <w:t>收费和减免情况：根据财政部、国家发展改革委联合印发的《关于清理规范一批行政事业性收费有关政策的通知》规定，本年度依申请公开政府信息未收取任何费用，包括：检索费、复制费（含案卷材料复制费）、邮寄费。</w:t>
      </w:r>
    </w:p>
    <w:p w14:paraId="3A708A11">
      <w:pPr>
        <w:pStyle w:val="3"/>
        <w:keepNext w:val="0"/>
        <w:keepLines w:val="0"/>
        <w:pageBreakBefore w:val="0"/>
        <w:widowControl/>
        <w:suppressLineNumbers w:val="0"/>
        <w:overflowPunct/>
        <w:topLinePunct w:val="0"/>
        <w:bidi w:val="0"/>
        <w:spacing w:before="101" w:beforeAutospacing="0" w:after="0" w:afterAutospacing="0" w:line="560" w:lineRule="exact"/>
        <w:ind w:left="0" w:firstLine="620"/>
        <w:jc w:val="both"/>
        <w:rPr>
          <w:sz w:val="31"/>
          <w:szCs w:val="31"/>
        </w:rPr>
      </w:pPr>
      <w:r>
        <w:rPr>
          <w:rFonts w:hint="eastAsia" w:ascii="仿宋" w:hAnsi="仿宋" w:eastAsia="仿宋" w:cs="仿宋"/>
          <w:i w:val="0"/>
          <w:iCs w:val="0"/>
          <w:caps w:val="0"/>
          <w:color w:val="000000"/>
          <w:spacing w:val="1"/>
          <w:sz w:val="31"/>
          <w:szCs w:val="31"/>
        </w:rPr>
        <w:t>3.政府信息管理方面。</w:t>
      </w:r>
      <w:r>
        <w:rPr>
          <w:rFonts w:hint="eastAsia" w:ascii="仿宋" w:hAnsi="仿宋" w:eastAsia="仿宋" w:cs="仿宋"/>
          <w:i w:val="0"/>
          <w:iCs w:val="0"/>
          <w:caps w:val="0"/>
          <w:color w:val="000000"/>
          <w:spacing w:val="2"/>
          <w:sz w:val="31"/>
          <w:szCs w:val="31"/>
        </w:rPr>
        <w:t>区消防救援大队把政府信息公开工作列入了重要议事日程，明确了分管领导具体抓工作落实，同时通过建立健全政府信息公开特制定工作责任制，将责任明确到人，做到了一级抓一级，层层抓落实，促进政府信息公开工作走上制度化、规范化的轨道。</w:t>
      </w:r>
    </w:p>
    <w:p w14:paraId="6CDDC79C">
      <w:pPr>
        <w:pStyle w:val="3"/>
        <w:keepNext w:val="0"/>
        <w:keepLines w:val="0"/>
        <w:pageBreakBefore w:val="0"/>
        <w:widowControl/>
        <w:suppressLineNumbers w:val="0"/>
        <w:overflowPunct/>
        <w:topLinePunct w:val="0"/>
        <w:bidi w:val="0"/>
        <w:spacing w:before="57" w:beforeAutospacing="0" w:after="0" w:afterAutospacing="0" w:line="560" w:lineRule="exact"/>
        <w:ind w:left="0" w:firstLine="620"/>
        <w:jc w:val="both"/>
        <w:rPr>
          <w:sz w:val="31"/>
          <w:szCs w:val="31"/>
        </w:rPr>
      </w:pPr>
      <w:r>
        <w:rPr>
          <w:rFonts w:hint="eastAsia" w:ascii="仿宋" w:hAnsi="仿宋" w:eastAsia="仿宋" w:cs="仿宋"/>
          <w:i w:val="0"/>
          <w:iCs w:val="0"/>
          <w:caps w:val="0"/>
          <w:color w:val="000000"/>
          <w:spacing w:val="2"/>
          <w:sz w:val="31"/>
          <w:szCs w:val="31"/>
        </w:rPr>
        <w:t>4.平台建设方面。充分用好高新区政府网站政务公开主阵地，在政府门户网站及时发布更新高新区消防救援大队信息。认真做好群众咨询、投诉、意见、建议的处理工作，定期进行网站管理更新，坚持把群众最关心、最需要了解的事项公开作为信息公开的重点，从信息公开、电子政务和便民服务三个方面入手，加大推行政府信息公开的力度。</w:t>
      </w:r>
    </w:p>
    <w:p w14:paraId="3AFBAC28">
      <w:pPr>
        <w:pStyle w:val="3"/>
        <w:keepNext w:val="0"/>
        <w:keepLines w:val="0"/>
        <w:pageBreakBefore w:val="0"/>
        <w:widowControl/>
        <w:suppressLineNumbers w:val="0"/>
        <w:overflowPunct/>
        <w:topLinePunct w:val="0"/>
        <w:bidi w:val="0"/>
        <w:spacing w:before="59" w:beforeAutospacing="0" w:after="0" w:afterAutospacing="0" w:line="560" w:lineRule="exact"/>
        <w:ind w:left="0" w:right="4" w:firstLine="620"/>
        <w:jc w:val="both"/>
        <w:rPr>
          <w:sz w:val="31"/>
          <w:szCs w:val="31"/>
        </w:rPr>
      </w:pPr>
      <w:r>
        <w:rPr>
          <w:rFonts w:hint="eastAsia" w:ascii="仿宋" w:hAnsi="仿宋" w:eastAsia="仿宋" w:cs="仿宋"/>
          <w:i w:val="0"/>
          <w:iCs w:val="0"/>
          <w:caps w:val="0"/>
          <w:color w:val="000000"/>
          <w:spacing w:val="1"/>
          <w:sz w:val="31"/>
          <w:szCs w:val="31"/>
        </w:rPr>
        <w:t>5.监督保障方面。</w:t>
      </w:r>
      <w:r>
        <w:rPr>
          <w:rFonts w:hint="eastAsia" w:ascii="仿宋" w:hAnsi="仿宋" w:eastAsia="仿宋" w:cs="仿宋"/>
          <w:i w:val="0"/>
          <w:iCs w:val="0"/>
          <w:caps w:val="0"/>
          <w:color w:val="000000"/>
          <w:spacing w:val="2"/>
          <w:sz w:val="31"/>
          <w:szCs w:val="31"/>
        </w:rPr>
        <w:t>做好政务公开工作，对于促进依法行政、依法办事，建立廉洁高效的政权机关和勤政为民的服务体系具有重要意义。为切实做好我大队的政务公开工作，进一步提高对信息公开的认识，并把政务公开工作纳入全年工作目标责任制。将政务公开工作纳入工作考核中。对完成的公开工作情况开展督查，对落实不力的成员将给予通报，并要求及时整改。</w:t>
      </w:r>
    </w:p>
    <w:p w14:paraId="45D26FD7">
      <w:pPr>
        <w:pStyle w:val="3"/>
        <w:keepNext w:val="0"/>
        <w:keepLines w:val="0"/>
        <w:pageBreakBefore w:val="0"/>
        <w:widowControl/>
        <w:suppressLineNumbers w:val="0"/>
        <w:overflowPunct/>
        <w:topLinePunct w:val="0"/>
        <w:bidi w:val="0"/>
        <w:spacing w:before="19" w:beforeAutospacing="0" w:after="0" w:afterAutospacing="0" w:line="560" w:lineRule="exact"/>
        <w:ind w:left="555"/>
        <w:rPr>
          <w:sz w:val="31"/>
          <w:szCs w:val="31"/>
        </w:rPr>
      </w:pPr>
      <w:r>
        <w:rPr>
          <w:rFonts w:hint="eastAsia" w:ascii="黑体" w:hAnsi="宋体" w:eastAsia="黑体" w:cs="黑体"/>
          <w:i w:val="0"/>
          <w:iCs w:val="0"/>
          <w:caps w:val="0"/>
          <w:color w:val="333333"/>
          <w:spacing w:val="-3"/>
          <w:sz w:val="31"/>
          <w:szCs w:val="31"/>
        </w:rPr>
        <w:t>二、主动公开政府信息情况</w:t>
      </w:r>
    </w:p>
    <w:p w14:paraId="39143569">
      <w:pPr>
        <w:pStyle w:val="3"/>
        <w:keepNext w:val="0"/>
        <w:keepLines w:val="0"/>
        <w:pageBreakBefore w:val="0"/>
        <w:widowControl/>
        <w:suppressLineNumbers w:val="0"/>
        <w:overflowPunct/>
        <w:topLinePunct w:val="0"/>
        <w:bidi w:val="0"/>
        <w:spacing w:before="0" w:beforeAutospacing="0" w:after="0" w:afterAutospacing="0" w:line="560" w:lineRule="exact"/>
      </w:pPr>
      <w:r>
        <w:rPr>
          <w:rFonts w:hint="default" w:ascii="sans-serif" w:hAnsi="sans-serif" w:eastAsia="sans-serif" w:cs="sans-serif"/>
          <w:i w:val="0"/>
          <w:iCs w:val="0"/>
          <w:caps w:val="0"/>
          <w:color w:val="000000"/>
          <w:spacing w:val="0"/>
          <w:sz w:val="27"/>
          <w:szCs w:val="27"/>
        </w:rPr>
        <w:t> </w:t>
      </w:r>
    </w:p>
    <w:tbl>
      <w:tblPr>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75" w:type="dxa"/>
          <w:left w:w="150" w:type="dxa"/>
          <w:bottom w:w="75" w:type="dxa"/>
          <w:right w:w="150" w:type="dxa"/>
        </w:tblCellMar>
      </w:tblPr>
      <w:tblGrid>
        <w:gridCol w:w="2775"/>
        <w:gridCol w:w="1125"/>
        <w:gridCol w:w="1170"/>
        <w:gridCol w:w="2850"/>
      </w:tblGrid>
      <w:tr w14:paraId="6AA9C99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c>
          <w:tcPr>
            <w:tcW w:w="7920" w:type="dxa"/>
            <w:gridSpan w:val="4"/>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478A58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第二十条第（一）项</w:t>
            </w:r>
          </w:p>
        </w:tc>
      </w:tr>
      <w:tr w14:paraId="0C69E48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27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8565F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信息内容</w:t>
            </w:r>
          </w:p>
        </w:tc>
        <w:tc>
          <w:tcPr>
            <w:tcW w:w="112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B65D6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本年制</w:t>
            </w:r>
          </w:p>
          <w:p w14:paraId="4B188C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发件数</w:t>
            </w:r>
          </w:p>
        </w:tc>
        <w:tc>
          <w:tcPr>
            <w:tcW w:w="117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F3224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本年废</w:t>
            </w:r>
          </w:p>
          <w:p w14:paraId="3B6DA9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止件数</w:t>
            </w:r>
          </w:p>
        </w:tc>
        <w:tc>
          <w:tcPr>
            <w:tcW w:w="23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9FE17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现行有效件数</w:t>
            </w:r>
          </w:p>
        </w:tc>
      </w:tr>
      <w:tr w14:paraId="6599B0D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27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98942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规章</w:t>
            </w:r>
          </w:p>
        </w:tc>
        <w:tc>
          <w:tcPr>
            <w:tcW w:w="112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F5C1D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117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E5D25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23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3CE26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r>
      <w:tr w14:paraId="5CDABF7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27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E028E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行政规范性文件</w:t>
            </w:r>
          </w:p>
        </w:tc>
        <w:tc>
          <w:tcPr>
            <w:tcW w:w="112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28AA7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117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894E2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23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4CEB72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r>
      <w:tr w14:paraId="47CD29B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7920" w:type="dxa"/>
            <w:gridSpan w:val="4"/>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92E68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第二十条第（五）项</w:t>
            </w:r>
          </w:p>
        </w:tc>
      </w:tr>
      <w:tr w14:paraId="54E8B0A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27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40A66B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信息内容</w:t>
            </w:r>
          </w:p>
        </w:tc>
        <w:tc>
          <w:tcPr>
            <w:tcW w:w="4980" w:type="dxa"/>
            <w:gridSpan w:val="3"/>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2B1CA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本年处理决定数量</w:t>
            </w:r>
          </w:p>
        </w:tc>
      </w:tr>
      <w:tr w14:paraId="69D325D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27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0333A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行政许可</w:t>
            </w:r>
          </w:p>
        </w:tc>
        <w:tc>
          <w:tcPr>
            <w:tcW w:w="4980" w:type="dxa"/>
            <w:gridSpan w:val="3"/>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388E3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10</w:t>
            </w:r>
          </w:p>
        </w:tc>
      </w:tr>
      <w:tr w14:paraId="6EB128D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7920" w:type="dxa"/>
            <w:gridSpan w:val="4"/>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E3BD2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第二十条第（六）项</w:t>
            </w:r>
          </w:p>
        </w:tc>
      </w:tr>
      <w:tr w14:paraId="6A3D106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27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13DEE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信息内容</w:t>
            </w:r>
          </w:p>
        </w:tc>
        <w:tc>
          <w:tcPr>
            <w:tcW w:w="4980" w:type="dxa"/>
            <w:gridSpan w:val="3"/>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97ACA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本年处理决定数量</w:t>
            </w:r>
          </w:p>
        </w:tc>
      </w:tr>
      <w:tr w14:paraId="35F5D96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27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94BC3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行政处罚</w:t>
            </w:r>
          </w:p>
        </w:tc>
        <w:tc>
          <w:tcPr>
            <w:tcW w:w="4980" w:type="dxa"/>
            <w:gridSpan w:val="3"/>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80E38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r>
      <w:tr w14:paraId="7F1582B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27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4A933C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行政强制</w:t>
            </w:r>
          </w:p>
        </w:tc>
        <w:tc>
          <w:tcPr>
            <w:tcW w:w="4980" w:type="dxa"/>
            <w:gridSpan w:val="3"/>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92EC9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r>
      <w:tr w14:paraId="0E7344C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7920" w:type="dxa"/>
            <w:gridSpan w:val="4"/>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9FE5C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第二十条第（八）项</w:t>
            </w:r>
          </w:p>
        </w:tc>
      </w:tr>
      <w:tr w14:paraId="6F728F1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27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5F828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信息内容</w:t>
            </w:r>
          </w:p>
        </w:tc>
        <w:tc>
          <w:tcPr>
            <w:tcW w:w="4980" w:type="dxa"/>
            <w:gridSpan w:val="3"/>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9CB4F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本年收费金额（单位：万元）</w:t>
            </w:r>
          </w:p>
        </w:tc>
      </w:tr>
      <w:tr w14:paraId="2747F88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27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EC104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行政事业性收费</w:t>
            </w:r>
          </w:p>
        </w:tc>
        <w:tc>
          <w:tcPr>
            <w:tcW w:w="4980" w:type="dxa"/>
            <w:gridSpan w:val="3"/>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43C23E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r>
    </w:tbl>
    <w:p w14:paraId="404EACB9">
      <w:pPr>
        <w:pStyle w:val="3"/>
        <w:keepNext w:val="0"/>
        <w:keepLines w:val="0"/>
        <w:pageBreakBefore w:val="0"/>
        <w:widowControl/>
        <w:suppressLineNumbers w:val="0"/>
        <w:overflowPunct/>
        <w:topLinePunct w:val="0"/>
        <w:bidi w:val="0"/>
        <w:spacing w:before="154" w:beforeAutospacing="0" w:after="0" w:afterAutospacing="0" w:line="560" w:lineRule="exact"/>
        <w:rPr>
          <w:sz w:val="31"/>
          <w:szCs w:val="31"/>
        </w:rPr>
      </w:pPr>
    </w:p>
    <w:p w14:paraId="088DF144">
      <w:pPr>
        <w:pStyle w:val="3"/>
        <w:keepNext w:val="0"/>
        <w:keepLines w:val="0"/>
        <w:pageBreakBefore w:val="0"/>
        <w:widowControl/>
        <w:suppressLineNumbers w:val="0"/>
        <w:overflowPunct/>
        <w:topLinePunct w:val="0"/>
        <w:bidi w:val="0"/>
        <w:spacing w:before="154" w:beforeAutospacing="0" w:after="0" w:afterAutospacing="0" w:line="560" w:lineRule="exact"/>
        <w:rPr>
          <w:sz w:val="31"/>
          <w:szCs w:val="31"/>
        </w:rPr>
      </w:pPr>
      <w:r>
        <w:rPr>
          <w:rFonts w:hint="eastAsia" w:ascii="黑体" w:hAnsi="宋体" w:eastAsia="黑体" w:cs="黑体"/>
          <w:i w:val="0"/>
          <w:iCs w:val="0"/>
          <w:caps w:val="0"/>
          <w:color w:val="333333"/>
          <w:spacing w:val="-2"/>
          <w:sz w:val="31"/>
          <w:szCs w:val="31"/>
        </w:rPr>
        <w:t>三、收到和处理政府信息公开申请情况</w:t>
      </w:r>
    </w:p>
    <w:p w14:paraId="1A5702C9">
      <w:pPr>
        <w:pStyle w:val="3"/>
        <w:keepNext w:val="0"/>
        <w:keepLines w:val="0"/>
        <w:pageBreakBefore w:val="0"/>
        <w:widowControl/>
        <w:suppressLineNumbers w:val="0"/>
        <w:overflowPunct/>
        <w:topLinePunct w:val="0"/>
        <w:bidi w:val="0"/>
        <w:spacing w:before="0" w:beforeAutospacing="0" w:after="0" w:afterAutospacing="0" w:line="560" w:lineRule="exact"/>
      </w:pPr>
      <w:r>
        <w:rPr>
          <w:rFonts w:hint="default" w:ascii="sans-serif" w:hAnsi="sans-serif" w:eastAsia="sans-serif" w:cs="sans-serif"/>
          <w:i w:val="0"/>
          <w:iCs w:val="0"/>
          <w:caps w:val="0"/>
          <w:color w:val="000000"/>
          <w:spacing w:val="0"/>
          <w:sz w:val="27"/>
          <w:szCs w:val="27"/>
        </w:rPr>
        <w:t> </w:t>
      </w:r>
    </w:p>
    <w:tbl>
      <w:tblPr>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75" w:type="dxa"/>
          <w:left w:w="150" w:type="dxa"/>
          <w:bottom w:w="75" w:type="dxa"/>
          <w:right w:w="150" w:type="dxa"/>
        </w:tblCellMar>
      </w:tblPr>
      <w:tblGrid>
        <w:gridCol w:w="1050"/>
        <w:gridCol w:w="1290"/>
        <w:gridCol w:w="840"/>
        <w:gridCol w:w="810"/>
        <w:gridCol w:w="810"/>
        <w:gridCol w:w="810"/>
        <w:gridCol w:w="810"/>
        <w:gridCol w:w="810"/>
        <w:gridCol w:w="822"/>
        <w:gridCol w:w="843"/>
      </w:tblGrid>
      <w:tr w14:paraId="2D2888D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c>
          <w:tcPr>
            <w:tcW w:w="3915" w:type="dxa"/>
            <w:gridSpan w:val="3"/>
            <w:vMerge w:val="restart"/>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98FCC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本列数据的勾稽关系为：第一项加第二项之和，等于第三项加第四项之和）</w:t>
            </w:r>
          </w:p>
        </w:tc>
        <w:tc>
          <w:tcPr>
            <w:tcW w:w="4155" w:type="dxa"/>
            <w:gridSpan w:val="7"/>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76925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申请人情况</w:t>
            </w:r>
          </w:p>
        </w:tc>
      </w:tr>
      <w:tr w14:paraId="2019F66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3915" w:type="dxa"/>
            <w:gridSpan w:val="3"/>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4006E75A">
            <w:pPr>
              <w:keepNext w:val="0"/>
              <w:keepLines w:val="0"/>
              <w:pageBreakBefore w:val="0"/>
              <w:widowControl/>
              <w:overflowPunct/>
              <w:topLinePunct w:val="0"/>
              <w:bidi w:val="0"/>
              <w:spacing w:afterAutospacing="0" w:line="560" w:lineRule="exact"/>
              <w:rPr>
                <w:rFonts w:hint="eastAsia" w:ascii="宋体"/>
                <w:sz w:val="24"/>
                <w:szCs w:val="24"/>
              </w:rPr>
            </w:pPr>
          </w:p>
        </w:tc>
        <w:tc>
          <w:tcPr>
            <w:tcW w:w="330" w:type="dxa"/>
            <w:vMerge w:val="restart"/>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02C69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自然人</w:t>
            </w:r>
          </w:p>
        </w:tc>
        <w:tc>
          <w:tcPr>
            <w:tcW w:w="2820" w:type="dxa"/>
            <w:gridSpan w:val="5"/>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1D898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法人或其他组织</w:t>
            </w:r>
          </w:p>
        </w:tc>
        <w:tc>
          <w:tcPr>
            <w:tcW w:w="585" w:type="dxa"/>
            <w:vMerge w:val="restart"/>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60451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总计</w:t>
            </w:r>
          </w:p>
        </w:tc>
      </w:tr>
      <w:tr w14:paraId="11C5FF1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3915" w:type="dxa"/>
            <w:gridSpan w:val="3"/>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4EE7C15">
            <w:pPr>
              <w:keepNext w:val="0"/>
              <w:keepLines w:val="0"/>
              <w:pageBreakBefore w:val="0"/>
              <w:widowControl/>
              <w:overflowPunct/>
              <w:topLinePunct w:val="0"/>
              <w:bidi w:val="0"/>
              <w:spacing w:afterAutospacing="0" w:line="560" w:lineRule="exact"/>
              <w:rPr>
                <w:rFonts w:hint="eastAsia" w:ascii="宋体"/>
                <w:sz w:val="24"/>
                <w:szCs w:val="24"/>
              </w:rPr>
            </w:pPr>
          </w:p>
        </w:tc>
        <w:tc>
          <w:tcPr>
            <w:tcW w:w="330"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463FAD7F">
            <w:pPr>
              <w:keepNext w:val="0"/>
              <w:keepLines w:val="0"/>
              <w:pageBreakBefore w:val="0"/>
              <w:widowControl/>
              <w:overflowPunct/>
              <w:topLinePunct w:val="0"/>
              <w:bidi w:val="0"/>
              <w:spacing w:afterAutospacing="0" w:line="560" w:lineRule="exact"/>
              <w:rPr>
                <w:rFonts w:hint="eastAsia" w:ascii="宋体"/>
                <w:sz w:val="24"/>
                <w:szCs w:val="24"/>
              </w:rPr>
            </w:pP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3D610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商业企业</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893D9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科研机构</w:t>
            </w:r>
          </w:p>
        </w:tc>
        <w:tc>
          <w:tcPr>
            <w:tcW w:w="4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533CF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社会公益组织</w:t>
            </w:r>
          </w:p>
        </w:tc>
        <w:tc>
          <w:tcPr>
            <w:tcW w:w="4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9949D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法律服务机构</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59C16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其他</w:t>
            </w:r>
          </w:p>
        </w:tc>
        <w:tc>
          <w:tcPr>
            <w:tcW w:w="585"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1044DA5">
            <w:pPr>
              <w:keepNext w:val="0"/>
              <w:keepLines w:val="0"/>
              <w:pageBreakBefore w:val="0"/>
              <w:widowControl/>
              <w:overflowPunct/>
              <w:topLinePunct w:val="0"/>
              <w:bidi w:val="0"/>
              <w:spacing w:afterAutospacing="0" w:line="560" w:lineRule="exact"/>
              <w:rPr>
                <w:rFonts w:hint="eastAsia" w:ascii="宋体"/>
                <w:sz w:val="24"/>
                <w:szCs w:val="24"/>
              </w:rPr>
            </w:pPr>
          </w:p>
        </w:tc>
      </w:tr>
      <w:tr w14:paraId="410375C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3915" w:type="dxa"/>
            <w:gridSpan w:val="3"/>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0DE92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bookmarkStart w:id="0" w:name="_Hlk66973412"/>
            <w:bookmarkEnd w:id="0"/>
            <w:r>
              <w:rPr>
                <w:bdr w:val="none" w:color="auto" w:sz="0" w:space="0"/>
              </w:rPr>
              <w:t>一、本年新收政府信息公开申请数量</w:t>
            </w:r>
          </w:p>
        </w:tc>
        <w:tc>
          <w:tcPr>
            <w:tcW w:w="3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FD0D4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860D0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61F32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4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4B706A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4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D2E6B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C5D35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58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7E34E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r>
      <w:tr w14:paraId="2943888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3915" w:type="dxa"/>
            <w:gridSpan w:val="3"/>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1A658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二、上年结转政府信息公开申请数量</w:t>
            </w:r>
          </w:p>
        </w:tc>
        <w:tc>
          <w:tcPr>
            <w:tcW w:w="3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1A9BD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A68B4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0F960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4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A22BA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4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9B3B4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E1407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58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B9815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r>
      <w:tr w14:paraId="41E1D7E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405" w:type="dxa"/>
            <w:vMerge w:val="restart"/>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46561C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三、本年度办理结果</w:t>
            </w:r>
          </w:p>
        </w:tc>
        <w:tc>
          <w:tcPr>
            <w:tcW w:w="3300" w:type="dxa"/>
            <w:gridSpan w:val="2"/>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7E06D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（一）予以公开</w:t>
            </w:r>
          </w:p>
        </w:tc>
        <w:tc>
          <w:tcPr>
            <w:tcW w:w="3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E5748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67286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452CDE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4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C91C8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4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AA475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6EB20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58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1F49D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r>
      <w:tr w14:paraId="3E58E88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405"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59B4142">
            <w:pPr>
              <w:keepNext w:val="0"/>
              <w:keepLines w:val="0"/>
              <w:pageBreakBefore w:val="0"/>
              <w:widowControl/>
              <w:overflowPunct/>
              <w:topLinePunct w:val="0"/>
              <w:bidi w:val="0"/>
              <w:spacing w:afterAutospacing="0" w:line="560" w:lineRule="exact"/>
              <w:rPr>
                <w:rFonts w:hint="eastAsia" w:ascii="宋体"/>
                <w:sz w:val="24"/>
                <w:szCs w:val="24"/>
              </w:rPr>
            </w:pPr>
          </w:p>
        </w:tc>
        <w:tc>
          <w:tcPr>
            <w:tcW w:w="3300" w:type="dxa"/>
            <w:gridSpan w:val="2"/>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ED153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bookmarkStart w:id="1" w:name="_Hlk66973981"/>
            <w:bookmarkEnd w:id="1"/>
            <w:r>
              <w:rPr>
                <w:bdr w:val="none" w:color="auto" w:sz="0" w:space="0"/>
              </w:rPr>
              <w:t>（二）部分公开（区分处理的，只计这一情形，不计其他情形）</w:t>
            </w:r>
          </w:p>
        </w:tc>
        <w:tc>
          <w:tcPr>
            <w:tcW w:w="3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4CEB27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1EB45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470EA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4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4021F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4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9471B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42B054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58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B92D9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r>
      <w:tr w14:paraId="1E883BC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405"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423E2F72">
            <w:pPr>
              <w:keepNext w:val="0"/>
              <w:keepLines w:val="0"/>
              <w:pageBreakBefore w:val="0"/>
              <w:widowControl/>
              <w:overflowPunct/>
              <w:topLinePunct w:val="0"/>
              <w:bidi w:val="0"/>
              <w:spacing w:afterAutospacing="0" w:line="560" w:lineRule="exact"/>
              <w:rPr>
                <w:rFonts w:hint="eastAsia" w:ascii="宋体"/>
                <w:sz w:val="24"/>
                <w:szCs w:val="24"/>
              </w:rPr>
            </w:pPr>
          </w:p>
        </w:tc>
        <w:tc>
          <w:tcPr>
            <w:tcW w:w="630" w:type="dxa"/>
            <w:vMerge w:val="restart"/>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7C0EA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（三）不予公开</w:t>
            </w:r>
          </w:p>
        </w:tc>
        <w:tc>
          <w:tcPr>
            <w:tcW w:w="246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7B67F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1.属于国家秘密</w:t>
            </w:r>
          </w:p>
        </w:tc>
        <w:tc>
          <w:tcPr>
            <w:tcW w:w="3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CF9AE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31D5D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F68EE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4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62650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4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4B487B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B4649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58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523C0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r>
      <w:tr w14:paraId="20F4517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405"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8705170">
            <w:pPr>
              <w:keepNext w:val="0"/>
              <w:keepLines w:val="0"/>
              <w:pageBreakBefore w:val="0"/>
              <w:widowControl/>
              <w:overflowPunct/>
              <w:topLinePunct w:val="0"/>
              <w:bidi w:val="0"/>
              <w:spacing w:afterAutospacing="0" w:line="560" w:lineRule="exact"/>
              <w:rPr>
                <w:rFonts w:hint="eastAsia" w:ascii="宋体"/>
                <w:sz w:val="24"/>
                <w:szCs w:val="24"/>
              </w:rPr>
            </w:pPr>
          </w:p>
        </w:tc>
        <w:tc>
          <w:tcPr>
            <w:tcW w:w="630"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03BF62B">
            <w:pPr>
              <w:keepNext w:val="0"/>
              <w:keepLines w:val="0"/>
              <w:pageBreakBefore w:val="0"/>
              <w:widowControl/>
              <w:overflowPunct/>
              <w:topLinePunct w:val="0"/>
              <w:bidi w:val="0"/>
              <w:spacing w:afterAutospacing="0" w:line="560" w:lineRule="exact"/>
              <w:rPr>
                <w:rFonts w:hint="eastAsia" w:ascii="宋体"/>
                <w:sz w:val="24"/>
                <w:szCs w:val="24"/>
              </w:rPr>
            </w:pPr>
          </w:p>
        </w:tc>
        <w:tc>
          <w:tcPr>
            <w:tcW w:w="246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59308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bookmarkStart w:id="2" w:name="_Hlk66974104"/>
            <w:bookmarkEnd w:id="2"/>
            <w:r>
              <w:rPr>
                <w:bdr w:val="none" w:color="auto" w:sz="0" w:space="0"/>
              </w:rPr>
              <w:t>2.其他法律行政法规禁止公开</w:t>
            </w:r>
          </w:p>
        </w:tc>
        <w:tc>
          <w:tcPr>
            <w:tcW w:w="3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1C044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AC172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FB53E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4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3692B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4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64534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31C63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58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540BE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r>
      <w:tr w14:paraId="4EEF149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405"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0721E47">
            <w:pPr>
              <w:keepNext w:val="0"/>
              <w:keepLines w:val="0"/>
              <w:pageBreakBefore w:val="0"/>
              <w:widowControl/>
              <w:overflowPunct/>
              <w:topLinePunct w:val="0"/>
              <w:bidi w:val="0"/>
              <w:spacing w:afterAutospacing="0" w:line="560" w:lineRule="exact"/>
              <w:rPr>
                <w:rFonts w:hint="eastAsia" w:ascii="宋体"/>
                <w:sz w:val="24"/>
                <w:szCs w:val="24"/>
              </w:rPr>
            </w:pPr>
          </w:p>
        </w:tc>
        <w:tc>
          <w:tcPr>
            <w:tcW w:w="630"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971C041">
            <w:pPr>
              <w:keepNext w:val="0"/>
              <w:keepLines w:val="0"/>
              <w:pageBreakBefore w:val="0"/>
              <w:widowControl/>
              <w:overflowPunct/>
              <w:topLinePunct w:val="0"/>
              <w:bidi w:val="0"/>
              <w:spacing w:afterAutospacing="0" w:line="560" w:lineRule="exact"/>
              <w:rPr>
                <w:rFonts w:hint="eastAsia" w:ascii="宋体"/>
                <w:sz w:val="24"/>
                <w:szCs w:val="24"/>
              </w:rPr>
            </w:pPr>
          </w:p>
        </w:tc>
        <w:tc>
          <w:tcPr>
            <w:tcW w:w="246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5E880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3.危及“三安全一稳定”</w:t>
            </w:r>
          </w:p>
        </w:tc>
        <w:tc>
          <w:tcPr>
            <w:tcW w:w="3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61A4D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5DF58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C4634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4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89E01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4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4D982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DB8C4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58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39696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r>
      <w:tr w14:paraId="06C92E3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405"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18C3CB7">
            <w:pPr>
              <w:keepNext w:val="0"/>
              <w:keepLines w:val="0"/>
              <w:pageBreakBefore w:val="0"/>
              <w:widowControl/>
              <w:overflowPunct/>
              <w:topLinePunct w:val="0"/>
              <w:bidi w:val="0"/>
              <w:spacing w:afterAutospacing="0" w:line="560" w:lineRule="exact"/>
              <w:rPr>
                <w:rFonts w:hint="eastAsia" w:ascii="宋体"/>
                <w:sz w:val="24"/>
                <w:szCs w:val="24"/>
              </w:rPr>
            </w:pPr>
          </w:p>
        </w:tc>
        <w:tc>
          <w:tcPr>
            <w:tcW w:w="630"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F52050B">
            <w:pPr>
              <w:keepNext w:val="0"/>
              <w:keepLines w:val="0"/>
              <w:pageBreakBefore w:val="0"/>
              <w:widowControl/>
              <w:overflowPunct/>
              <w:topLinePunct w:val="0"/>
              <w:bidi w:val="0"/>
              <w:spacing w:afterAutospacing="0" w:line="560" w:lineRule="exact"/>
              <w:rPr>
                <w:rFonts w:hint="eastAsia" w:ascii="宋体"/>
                <w:sz w:val="24"/>
                <w:szCs w:val="24"/>
              </w:rPr>
            </w:pPr>
          </w:p>
        </w:tc>
        <w:tc>
          <w:tcPr>
            <w:tcW w:w="246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5E1F2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bookmarkStart w:id="3" w:name="_Hlk66974290"/>
            <w:bookmarkEnd w:id="3"/>
            <w:r>
              <w:rPr>
                <w:bdr w:val="none" w:color="auto" w:sz="0" w:space="0"/>
              </w:rPr>
              <w:t>4.保护第三方合法权益</w:t>
            </w:r>
          </w:p>
        </w:tc>
        <w:tc>
          <w:tcPr>
            <w:tcW w:w="3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5BE23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FB0F5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E7290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4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47814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4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B77B8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8AF57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58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5AF14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r>
      <w:tr w14:paraId="594C840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405"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9AC8544">
            <w:pPr>
              <w:keepNext w:val="0"/>
              <w:keepLines w:val="0"/>
              <w:pageBreakBefore w:val="0"/>
              <w:widowControl/>
              <w:overflowPunct/>
              <w:topLinePunct w:val="0"/>
              <w:bidi w:val="0"/>
              <w:spacing w:afterAutospacing="0" w:line="560" w:lineRule="exact"/>
              <w:rPr>
                <w:rFonts w:hint="eastAsia" w:ascii="宋体"/>
                <w:sz w:val="24"/>
                <w:szCs w:val="24"/>
              </w:rPr>
            </w:pPr>
          </w:p>
        </w:tc>
        <w:tc>
          <w:tcPr>
            <w:tcW w:w="630"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62ABBE6">
            <w:pPr>
              <w:keepNext w:val="0"/>
              <w:keepLines w:val="0"/>
              <w:pageBreakBefore w:val="0"/>
              <w:widowControl/>
              <w:overflowPunct/>
              <w:topLinePunct w:val="0"/>
              <w:bidi w:val="0"/>
              <w:spacing w:afterAutospacing="0" w:line="560" w:lineRule="exact"/>
              <w:rPr>
                <w:rFonts w:hint="eastAsia" w:ascii="宋体"/>
                <w:sz w:val="24"/>
                <w:szCs w:val="24"/>
              </w:rPr>
            </w:pPr>
          </w:p>
        </w:tc>
        <w:tc>
          <w:tcPr>
            <w:tcW w:w="246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470D1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5.属于三类内部事务信息</w:t>
            </w:r>
          </w:p>
        </w:tc>
        <w:tc>
          <w:tcPr>
            <w:tcW w:w="3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576F0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2B8BB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E4092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4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8D35D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4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3B704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4DD4BC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58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B3806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r>
      <w:tr w14:paraId="5FE8C9B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405"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BF22BB7">
            <w:pPr>
              <w:keepNext w:val="0"/>
              <w:keepLines w:val="0"/>
              <w:pageBreakBefore w:val="0"/>
              <w:widowControl/>
              <w:overflowPunct/>
              <w:topLinePunct w:val="0"/>
              <w:bidi w:val="0"/>
              <w:spacing w:afterAutospacing="0" w:line="560" w:lineRule="exact"/>
              <w:rPr>
                <w:rFonts w:hint="eastAsia" w:ascii="宋体"/>
                <w:sz w:val="24"/>
                <w:szCs w:val="24"/>
              </w:rPr>
            </w:pPr>
          </w:p>
        </w:tc>
        <w:tc>
          <w:tcPr>
            <w:tcW w:w="630"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C145AE5">
            <w:pPr>
              <w:keepNext w:val="0"/>
              <w:keepLines w:val="0"/>
              <w:pageBreakBefore w:val="0"/>
              <w:widowControl/>
              <w:overflowPunct/>
              <w:topLinePunct w:val="0"/>
              <w:bidi w:val="0"/>
              <w:spacing w:afterAutospacing="0" w:line="560" w:lineRule="exact"/>
              <w:rPr>
                <w:rFonts w:hint="eastAsia" w:ascii="宋体"/>
                <w:sz w:val="24"/>
                <w:szCs w:val="24"/>
              </w:rPr>
            </w:pPr>
          </w:p>
        </w:tc>
        <w:tc>
          <w:tcPr>
            <w:tcW w:w="246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0932E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bookmarkStart w:id="4" w:name="_Hlk66974555"/>
            <w:bookmarkEnd w:id="4"/>
            <w:r>
              <w:rPr>
                <w:bdr w:val="none" w:color="auto" w:sz="0" w:space="0"/>
              </w:rPr>
              <w:t>6.属于四类过程性信息</w:t>
            </w:r>
          </w:p>
        </w:tc>
        <w:tc>
          <w:tcPr>
            <w:tcW w:w="3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F1CA8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E8BC4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43C238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4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BF1AC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4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634A3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60FD1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58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DE180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r>
      <w:tr w14:paraId="6B629C5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405"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B960F90">
            <w:pPr>
              <w:keepNext w:val="0"/>
              <w:keepLines w:val="0"/>
              <w:pageBreakBefore w:val="0"/>
              <w:widowControl/>
              <w:overflowPunct/>
              <w:topLinePunct w:val="0"/>
              <w:bidi w:val="0"/>
              <w:spacing w:afterAutospacing="0" w:line="560" w:lineRule="exact"/>
              <w:rPr>
                <w:rFonts w:hint="eastAsia" w:ascii="宋体"/>
                <w:sz w:val="24"/>
                <w:szCs w:val="24"/>
              </w:rPr>
            </w:pPr>
          </w:p>
        </w:tc>
        <w:tc>
          <w:tcPr>
            <w:tcW w:w="630"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93C2E3C">
            <w:pPr>
              <w:keepNext w:val="0"/>
              <w:keepLines w:val="0"/>
              <w:pageBreakBefore w:val="0"/>
              <w:widowControl/>
              <w:overflowPunct/>
              <w:topLinePunct w:val="0"/>
              <w:bidi w:val="0"/>
              <w:spacing w:afterAutospacing="0" w:line="560" w:lineRule="exact"/>
              <w:rPr>
                <w:rFonts w:hint="eastAsia" w:ascii="宋体"/>
                <w:sz w:val="24"/>
                <w:szCs w:val="24"/>
              </w:rPr>
            </w:pPr>
          </w:p>
        </w:tc>
        <w:tc>
          <w:tcPr>
            <w:tcW w:w="246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DCAC6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7.属于行政执法案卷</w:t>
            </w:r>
          </w:p>
        </w:tc>
        <w:tc>
          <w:tcPr>
            <w:tcW w:w="3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D6B4A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74D2B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37671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4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DB6AD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4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81A43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85A0A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58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60D24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r>
      <w:tr w14:paraId="665D08D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405"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EAE01EA">
            <w:pPr>
              <w:keepNext w:val="0"/>
              <w:keepLines w:val="0"/>
              <w:pageBreakBefore w:val="0"/>
              <w:widowControl/>
              <w:overflowPunct/>
              <w:topLinePunct w:val="0"/>
              <w:bidi w:val="0"/>
              <w:spacing w:afterAutospacing="0" w:line="560" w:lineRule="exact"/>
              <w:rPr>
                <w:rFonts w:hint="eastAsia" w:ascii="宋体"/>
                <w:sz w:val="24"/>
                <w:szCs w:val="24"/>
              </w:rPr>
            </w:pPr>
          </w:p>
        </w:tc>
        <w:tc>
          <w:tcPr>
            <w:tcW w:w="630"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C9DED5C">
            <w:pPr>
              <w:keepNext w:val="0"/>
              <w:keepLines w:val="0"/>
              <w:pageBreakBefore w:val="0"/>
              <w:widowControl/>
              <w:overflowPunct/>
              <w:topLinePunct w:val="0"/>
              <w:bidi w:val="0"/>
              <w:spacing w:afterAutospacing="0" w:line="560" w:lineRule="exact"/>
              <w:rPr>
                <w:rFonts w:hint="eastAsia" w:ascii="宋体"/>
                <w:sz w:val="24"/>
                <w:szCs w:val="24"/>
              </w:rPr>
            </w:pPr>
          </w:p>
        </w:tc>
        <w:tc>
          <w:tcPr>
            <w:tcW w:w="246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82ABD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bookmarkStart w:id="5" w:name="_Hlk66975211"/>
            <w:bookmarkEnd w:id="5"/>
            <w:r>
              <w:rPr>
                <w:bdr w:val="none" w:color="auto" w:sz="0" w:space="0"/>
              </w:rPr>
              <w:t>8.属于行政查询事项</w:t>
            </w:r>
          </w:p>
        </w:tc>
        <w:tc>
          <w:tcPr>
            <w:tcW w:w="3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4C0F0E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428AD5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27B02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4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39689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4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77F39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ADCB9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58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7753A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r>
      <w:tr w14:paraId="77B5C02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405"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96B2664">
            <w:pPr>
              <w:keepNext w:val="0"/>
              <w:keepLines w:val="0"/>
              <w:pageBreakBefore w:val="0"/>
              <w:widowControl/>
              <w:overflowPunct/>
              <w:topLinePunct w:val="0"/>
              <w:bidi w:val="0"/>
              <w:spacing w:afterAutospacing="0" w:line="560" w:lineRule="exact"/>
              <w:rPr>
                <w:rFonts w:hint="eastAsia" w:ascii="宋体"/>
                <w:sz w:val="24"/>
                <w:szCs w:val="24"/>
              </w:rPr>
            </w:pPr>
          </w:p>
        </w:tc>
        <w:tc>
          <w:tcPr>
            <w:tcW w:w="630" w:type="dxa"/>
            <w:vMerge w:val="restart"/>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DC582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（四）无法提供</w:t>
            </w:r>
          </w:p>
        </w:tc>
        <w:tc>
          <w:tcPr>
            <w:tcW w:w="246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F595D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1.本机关不掌握相关政府信息</w:t>
            </w:r>
          </w:p>
        </w:tc>
        <w:tc>
          <w:tcPr>
            <w:tcW w:w="3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76E9A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49061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395E0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4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56B05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4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116E8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8EBE6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58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5C64C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r>
      <w:tr w14:paraId="5D412DD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405"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93F326F">
            <w:pPr>
              <w:keepNext w:val="0"/>
              <w:keepLines w:val="0"/>
              <w:pageBreakBefore w:val="0"/>
              <w:widowControl/>
              <w:overflowPunct/>
              <w:topLinePunct w:val="0"/>
              <w:bidi w:val="0"/>
              <w:spacing w:afterAutospacing="0" w:line="560" w:lineRule="exact"/>
              <w:rPr>
                <w:rFonts w:hint="eastAsia" w:ascii="宋体"/>
                <w:sz w:val="24"/>
                <w:szCs w:val="24"/>
              </w:rPr>
            </w:pPr>
          </w:p>
        </w:tc>
        <w:tc>
          <w:tcPr>
            <w:tcW w:w="630"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DF434AA">
            <w:pPr>
              <w:keepNext w:val="0"/>
              <w:keepLines w:val="0"/>
              <w:pageBreakBefore w:val="0"/>
              <w:widowControl/>
              <w:overflowPunct/>
              <w:topLinePunct w:val="0"/>
              <w:bidi w:val="0"/>
              <w:spacing w:afterAutospacing="0" w:line="560" w:lineRule="exact"/>
              <w:rPr>
                <w:rFonts w:hint="eastAsia" w:ascii="宋体"/>
                <w:sz w:val="24"/>
                <w:szCs w:val="24"/>
              </w:rPr>
            </w:pPr>
          </w:p>
        </w:tc>
        <w:tc>
          <w:tcPr>
            <w:tcW w:w="246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34452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bookmarkStart w:id="6" w:name="_Hlk66975392"/>
            <w:bookmarkEnd w:id="6"/>
            <w:r>
              <w:rPr>
                <w:bdr w:val="none" w:color="auto" w:sz="0" w:space="0"/>
              </w:rPr>
              <w:t>2.没有现成信息需要另行制作</w:t>
            </w:r>
          </w:p>
        </w:tc>
        <w:tc>
          <w:tcPr>
            <w:tcW w:w="3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3E912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7675C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AFBF5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4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DCC21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4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5F943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BE574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58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2DA1F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r>
      <w:tr w14:paraId="30F7738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405"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9C253E8">
            <w:pPr>
              <w:keepNext w:val="0"/>
              <w:keepLines w:val="0"/>
              <w:pageBreakBefore w:val="0"/>
              <w:widowControl/>
              <w:overflowPunct/>
              <w:topLinePunct w:val="0"/>
              <w:bidi w:val="0"/>
              <w:spacing w:afterAutospacing="0" w:line="560" w:lineRule="exact"/>
              <w:rPr>
                <w:rFonts w:hint="eastAsia" w:ascii="宋体"/>
                <w:sz w:val="24"/>
                <w:szCs w:val="24"/>
              </w:rPr>
            </w:pPr>
          </w:p>
        </w:tc>
        <w:tc>
          <w:tcPr>
            <w:tcW w:w="630"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5B6B620">
            <w:pPr>
              <w:keepNext w:val="0"/>
              <w:keepLines w:val="0"/>
              <w:pageBreakBefore w:val="0"/>
              <w:widowControl/>
              <w:overflowPunct/>
              <w:topLinePunct w:val="0"/>
              <w:bidi w:val="0"/>
              <w:spacing w:afterAutospacing="0" w:line="560" w:lineRule="exact"/>
              <w:rPr>
                <w:rFonts w:hint="eastAsia" w:ascii="宋体"/>
                <w:sz w:val="24"/>
                <w:szCs w:val="24"/>
              </w:rPr>
            </w:pPr>
          </w:p>
        </w:tc>
        <w:tc>
          <w:tcPr>
            <w:tcW w:w="246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9E417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bookmarkStart w:id="7" w:name="_Hlk66975466"/>
            <w:bookmarkEnd w:id="7"/>
            <w:r>
              <w:rPr>
                <w:bdr w:val="none" w:color="auto" w:sz="0" w:space="0"/>
              </w:rPr>
              <w:t>3.补正后申请内容仍不明确</w:t>
            </w:r>
          </w:p>
        </w:tc>
        <w:tc>
          <w:tcPr>
            <w:tcW w:w="3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8ADE3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340CA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3E171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4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5B52E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4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65951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61034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58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3EBCB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r>
      <w:tr w14:paraId="672713D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405"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4484864">
            <w:pPr>
              <w:keepNext w:val="0"/>
              <w:keepLines w:val="0"/>
              <w:pageBreakBefore w:val="0"/>
              <w:widowControl/>
              <w:overflowPunct/>
              <w:topLinePunct w:val="0"/>
              <w:bidi w:val="0"/>
              <w:spacing w:afterAutospacing="0" w:line="560" w:lineRule="exact"/>
              <w:rPr>
                <w:rFonts w:hint="eastAsia" w:ascii="宋体"/>
                <w:sz w:val="24"/>
                <w:szCs w:val="24"/>
              </w:rPr>
            </w:pPr>
          </w:p>
        </w:tc>
        <w:tc>
          <w:tcPr>
            <w:tcW w:w="630" w:type="dxa"/>
            <w:vMerge w:val="restart"/>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7303F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（五）不予处理</w:t>
            </w:r>
          </w:p>
        </w:tc>
        <w:tc>
          <w:tcPr>
            <w:tcW w:w="246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10008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bookmarkStart w:id="8" w:name="_Hlk66975537"/>
            <w:bookmarkEnd w:id="8"/>
            <w:r>
              <w:rPr>
                <w:bdr w:val="none" w:color="auto" w:sz="0" w:space="0"/>
              </w:rPr>
              <w:t>1.信访举报投诉类申请</w:t>
            </w:r>
          </w:p>
        </w:tc>
        <w:tc>
          <w:tcPr>
            <w:tcW w:w="3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6F834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0BC94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3F9CF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4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9A47E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4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6BAE6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B0B98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58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E348A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r>
      <w:tr w14:paraId="3FFA6D1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405"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A7D865A">
            <w:pPr>
              <w:keepNext w:val="0"/>
              <w:keepLines w:val="0"/>
              <w:pageBreakBefore w:val="0"/>
              <w:widowControl/>
              <w:overflowPunct/>
              <w:topLinePunct w:val="0"/>
              <w:bidi w:val="0"/>
              <w:spacing w:afterAutospacing="0" w:line="560" w:lineRule="exact"/>
              <w:rPr>
                <w:rFonts w:hint="eastAsia" w:ascii="宋体"/>
                <w:sz w:val="24"/>
                <w:szCs w:val="24"/>
              </w:rPr>
            </w:pPr>
          </w:p>
        </w:tc>
        <w:tc>
          <w:tcPr>
            <w:tcW w:w="630"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5D4FBAF">
            <w:pPr>
              <w:keepNext w:val="0"/>
              <w:keepLines w:val="0"/>
              <w:pageBreakBefore w:val="0"/>
              <w:widowControl/>
              <w:overflowPunct/>
              <w:topLinePunct w:val="0"/>
              <w:bidi w:val="0"/>
              <w:spacing w:afterAutospacing="0" w:line="560" w:lineRule="exact"/>
              <w:rPr>
                <w:rFonts w:hint="eastAsia" w:ascii="宋体"/>
                <w:sz w:val="24"/>
                <w:szCs w:val="24"/>
              </w:rPr>
            </w:pPr>
          </w:p>
        </w:tc>
        <w:tc>
          <w:tcPr>
            <w:tcW w:w="246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3A945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2.重复申请</w:t>
            </w:r>
          </w:p>
        </w:tc>
        <w:tc>
          <w:tcPr>
            <w:tcW w:w="3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39CA3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7ADE9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AA15E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4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492DDA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4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96D06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2FCA5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58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02943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r>
      <w:tr w14:paraId="3568BFC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405"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480F221">
            <w:pPr>
              <w:keepNext w:val="0"/>
              <w:keepLines w:val="0"/>
              <w:pageBreakBefore w:val="0"/>
              <w:widowControl/>
              <w:overflowPunct/>
              <w:topLinePunct w:val="0"/>
              <w:bidi w:val="0"/>
              <w:spacing w:afterAutospacing="0" w:line="560" w:lineRule="exact"/>
              <w:rPr>
                <w:rFonts w:hint="eastAsia" w:ascii="宋体"/>
                <w:sz w:val="24"/>
                <w:szCs w:val="24"/>
              </w:rPr>
            </w:pPr>
          </w:p>
        </w:tc>
        <w:tc>
          <w:tcPr>
            <w:tcW w:w="630"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0D58AE3">
            <w:pPr>
              <w:keepNext w:val="0"/>
              <w:keepLines w:val="0"/>
              <w:pageBreakBefore w:val="0"/>
              <w:widowControl/>
              <w:overflowPunct/>
              <w:topLinePunct w:val="0"/>
              <w:bidi w:val="0"/>
              <w:spacing w:afterAutospacing="0" w:line="560" w:lineRule="exact"/>
              <w:rPr>
                <w:rFonts w:hint="eastAsia" w:ascii="宋体"/>
                <w:sz w:val="24"/>
                <w:szCs w:val="24"/>
              </w:rPr>
            </w:pPr>
          </w:p>
        </w:tc>
        <w:tc>
          <w:tcPr>
            <w:tcW w:w="246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26272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3.要求提供公开出版物</w:t>
            </w:r>
          </w:p>
        </w:tc>
        <w:tc>
          <w:tcPr>
            <w:tcW w:w="3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500D6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2A2E0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BF84B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4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7323C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4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E47EA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D233A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58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655F4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r>
      <w:tr w14:paraId="515CC10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405"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47684A7B">
            <w:pPr>
              <w:keepNext w:val="0"/>
              <w:keepLines w:val="0"/>
              <w:pageBreakBefore w:val="0"/>
              <w:widowControl/>
              <w:overflowPunct/>
              <w:topLinePunct w:val="0"/>
              <w:bidi w:val="0"/>
              <w:spacing w:afterAutospacing="0" w:line="560" w:lineRule="exact"/>
              <w:rPr>
                <w:rFonts w:hint="eastAsia" w:ascii="宋体"/>
                <w:sz w:val="24"/>
                <w:szCs w:val="24"/>
              </w:rPr>
            </w:pPr>
          </w:p>
        </w:tc>
        <w:tc>
          <w:tcPr>
            <w:tcW w:w="630"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4A98CCA1">
            <w:pPr>
              <w:keepNext w:val="0"/>
              <w:keepLines w:val="0"/>
              <w:pageBreakBefore w:val="0"/>
              <w:widowControl/>
              <w:overflowPunct/>
              <w:topLinePunct w:val="0"/>
              <w:bidi w:val="0"/>
              <w:spacing w:afterAutospacing="0" w:line="560" w:lineRule="exact"/>
              <w:rPr>
                <w:rFonts w:hint="eastAsia" w:ascii="宋体"/>
                <w:sz w:val="24"/>
                <w:szCs w:val="24"/>
              </w:rPr>
            </w:pPr>
          </w:p>
        </w:tc>
        <w:tc>
          <w:tcPr>
            <w:tcW w:w="246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9780A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4.无正当理由大量反复申请</w:t>
            </w:r>
          </w:p>
        </w:tc>
        <w:tc>
          <w:tcPr>
            <w:tcW w:w="3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004FC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69953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6D2A8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4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CBF1C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4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68481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4E44A0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58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C730A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r>
      <w:tr w14:paraId="0E38257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405"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FE7DC07">
            <w:pPr>
              <w:keepNext w:val="0"/>
              <w:keepLines w:val="0"/>
              <w:pageBreakBefore w:val="0"/>
              <w:widowControl/>
              <w:overflowPunct/>
              <w:topLinePunct w:val="0"/>
              <w:bidi w:val="0"/>
              <w:spacing w:afterAutospacing="0" w:line="560" w:lineRule="exact"/>
              <w:rPr>
                <w:rFonts w:hint="eastAsia" w:ascii="宋体"/>
                <w:sz w:val="24"/>
                <w:szCs w:val="24"/>
              </w:rPr>
            </w:pPr>
          </w:p>
        </w:tc>
        <w:tc>
          <w:tcPr>
            <w:tcW w:w="630"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488A2D7">
            <w:pPr>
              <w:keepNext w:val="0"/>
              <w:keepLines w:val="0"/>
              <w:pageBreakBefore w:val="0"/>
              <w:widowControl/>
              <w:overflowPunct/>
              <w:topLinePunct w:val="0"/>
              <w:bidi w:val="0"/>
              <w:spacing w:afterAutospacing="0" w:line="560" w:lineRule="exact"/>
              <w:rPr>
                <w:rFonts w:hint="eastAsia" w:ascii="宋体"/>
                <w:sz w:val="24"/>
                <w:szCs w:val="24"/>
              </w:rPr>
            </w:pPr>
          </w:p>
        </w:tc>
        <w:tc>
          <w:tcPr>
            <w:tcW w:w="246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7D42D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5.要求行政机关确认或重新出具已获取信息</w:t>
            </w:r>
          </w:p>
        </w:tc>
        <w:tc>
          <w:tcPr>
            <w:tcW w:w="3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E34BA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239B3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D00EC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4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9DE53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4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604F8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059EB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58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4C0CEE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r>
      <w:tr w14:paraId="2A77959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405"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BE9043A">
            <w:pPr>
              <w:keepNext w:val="0"/>
              <w:keepLines w:val="0"/>
              <w:pageBreakBefore w:val="0"/>
              <w:widowControl/>
              <w:overflowPunct/>
              <w:topLinePunct w:val="0"/>
              <w:bidi w:val="0"/>
              <w:spacing w:afterAutospacing="0" w:line="560" w:lineRule="exact"/>
              <w:rPr>
                <w:rFonts w:hint="eastAsia" w:ascii="宋体"/>
                <w:sz w:val="24"/>
                <w:szCs w:val="24"/>
              </w:rPr>
            </w:pPr>
          </w:p>
        </w:tc>
        <w:tc>
          <w:tcPr>
            <w:tcW w:w="630" w:type="dxa"/>
            <w:vMerge w:val="restart"/>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87196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（六）其他处理</w:t>
            </w:r>
          </w:p>
        </w:tc>
        <w:tc>
          <w:tcPr>
            <w:tcW w:w="246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4BC812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1.申请人无正当理由逾期不补正、行政机关不再处理其政府信息公开申请</w:t>
            </w:r>
          </w:p>
        </w:tc>
        <w:tc>
          <w:tcPr>
            <w:tcW w:w="3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447E94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5AEFA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D3A6B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4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4007D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4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91FE4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FDC9C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58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68C57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r>
      <w:tr w14:paraId="03113EC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405"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A93D174">
            <w:pPr>
              <w:keepNext w:val="0"/>
              <w:keepLines w:val="0"/>
              <w:pageBreakBefore w:val="0"/>
              <w:widowControl/>
              <w:overflowPunct/>
              <w:topLinePunct w:val="0"/>
              <w:bidi w:val="0"/>
              <w:spacing w:afterAutospacing="0" w:line="560" w:lineRule="exact"/>
              <w:rPr>
                <w:rFonts w:hint="eastAsia" w:ascii="宋体"/>
                <w:sz w:val="24"/>
                <w:szCs w:val="24"/>
              </w:rPr>
            </w:pPr>
          </w:p>
        </w:tc>
        <w:tc>
          <w:tcPr>
            <w:tcW w:w="630"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AC2A988">
            <w:pPr>
              <w:keepNext w:val="0"/>
              <w:keepLines w:val="0"/>
              <w:pageBreakBefore w:val="0"/>
              <w:widowControl/>
              <w:overflowPunct/>
              <w:topLinePunct w:val="0"/>
              <w:bidi w:val="0"/>
              <w:spacing w:afterAutospacing="0" w:line="560" w:lineRule="exact"/>
              <w:rPr>
                <w:rFonts w:hint="eastAsia" w:ascii="宋体"/>
                <w:sz w:val="24"/>
                <w:szCs w:val="24"/>
              </w:rPr>
            </w:pPr>
          </w:p>
        </w:tc>
        <w:tc>
          <w:tcPr>
            <w:tcW w:w="246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B19B8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2.申请人逾期未按收费通知要求缴纳费用、行政机关不再处理其政府信息公开申请</w:t>
            </w:r>
          </w:p>
        </w:tc>
        <w:tc>
          <w:tcPr>
            <w:tcW w:w="3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E3540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9A393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61E67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4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449D4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4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260754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C47F7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58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918AC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r>
      <w:tr w14:paraId="0E09D77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405"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9A41D5D">
            <w:pPr>
              <w:keepNext w:val="0"/>
              <w:keepLines w:val="0"/>
              <w:pageBreakBefore w:val="0"/>
              <w:widowControl/>
              <w:overflowPunct/>
              <w:topLinePunct w:val="0"/>
              <w:bidi w:val="0"/>
              <w:spacing w:afterAutospacing="0" w:line="560" w:lineRule="exact"/>
              <w:rPr>
                <w:rFonts w:hint="eastAsia" w:ascii="宋体"/>
                <w:sz w:val="24"/>
                <w:szCs w:val="24"/>
              </w:rPr>
            </w:pPr>
          </w:p>
        </w:tc>
        <w:tc>
          <w:tcPr>
            <w:tcW w:w="630"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1512714">
            <w:pPr>
              <w:keepNext w:val="0"/>
              <w:keepLines w:val="0"/>
              <w:pageBreakBefore w:val="0"/>
              <w:widowControl/>
              <w:overflowPunct/>
              <w:topLinePunct w:val="0"/>
              <w:bidi w:val="0"/>
              <w:spacing w:afterAutospacing="0" w:line="560" w:lineRule="exact"/>
              <w:rPr>
                <w:rFonts w:hint="eastAsia" w:ascii="宋体"/>
                <w:sz w:val="24"/>
                <w:szCs w:val="24"/>
              </w:rPr>
            </w:pPr>
          </w:p>
        </w:tc>
        <w:tc>
          <w:tcPr>
            <w:tcW w:w="246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494196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3.其他</w:t>
            </w:r>
          </w:p>
        </w:tc>
        <w:tc>
          <w:tcPr>
            <w:tcW w:w="3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39E66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4163E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4A17FF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4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1E87E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4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52440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41085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58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86D1F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r>
      <w:tr w14:paraId="0F66098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405"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261B757">
            <w:pPr>
              <w:keepNext w:val="0"/>
              <w:keepLines w:val="0"/>
              <w:pageBreakBefore w:val="0"/>
              <w:widowControl/>
              <w:overflowPunct/>
              <w:topLinePunct w:val="0"/>
              <w:bidi w:val="0"/>
              <w:spacing w:afterAutospacing="0" w:line="560" w:lineRule="exact"/>
              <w:rPr>
                <w:rFonts w:hint="eastAsia" w:ascii="宋体"/>
                <w:sz w:val="24"/>
                <w:szCs w:val="24"/>
              </w:rPr>
            </w:pPr>
          </w:p>
        </w:tc>
        <w:tc>
          <w:tcPr>
            <w:tcW w:w="3300" w:type="dxa"/>
            <w:gridSpan w:val="2"/>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45B1EC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（七）总计</w:t>
            </w:r>
          </w:p>
        </w:tc>
        <w:tc>
          <w:tcPr>
            <w:tcW w:w="3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BF57B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3DE55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55F38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4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F44CA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4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BE0D7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04F5F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58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8FCF4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r>
      <w:tr w14:paraId="78DAB32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3915" w:type="dxa"/>
            <w:gridSpan w:val="3"/>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99E16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四、结转下年度继续办理</w:t>
            </w:r>
          </w:p>
        </w:tc>
        <w:tc>
          <w:tcPr>
            <w:tcW w:w="3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D8890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4780AA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D66A3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4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DF78F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4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67A40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3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A1F74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c>
          <w:tcPr>
            <w:tcW w:w="58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09EC5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firstLine="420"/>
            </w:pPr>
            <w:r>
              <w:rPr>
                <w:bdr w:val="none" w:color="auto" w:sz="0" w:space="0"/>
              </w:rPr>
              <w:t>0</w:t>
            </w:r>
          </w:p>
        </w:tc>
      </w:tr>
    </w:tbl>
    <w:p w14:paraId="61D88729">
      <w:pPr>
        <w:pStyle w:val="3"/>
        <w:keepNext w:val="0"/>
        <w:keepLines w:val="0"/>
        <w:pageBreakBefore w:val="0"/>
        <w:widowControl/>
        <w:suppressLineNumbers w:val="0"/>
        <w:overflowPunct/>
        <w:topLinePunct w:val="0"/>
        <w:bidi w:val="0"/>
        <w:spacing w:before="0" w:beforeAutospacing="0" w:after="0" w:afterAutospacing="0" w:line="560" w:lineRule="exact"/>
      </w:pPr>
      <w:r>
        <w:rPr>
          <w:rFonts w:hint="default" w:ascii="sans-serif" w:hAnsi="sans-serif" w:eastAsia="sans-serif" w:cs="sans-serif"/>
          <w:i w:val="0"/>
          <w:iCs w:val="0"/>
          <w:caps w:val="0"/>
          <w:color w:val="000000"/>
          <w:spacing w:val="0"/>
          <w:sz w:val="27"/>
          <w:szCs w:val="27"/>
        </w:rPr>
        <w:t> </w:t>
      </w:r>
    </w:p>
    <w:p w14:paraId="5743CC0F">
      <w:pPr>
        <w:pStyle w:val="3"/>
        <w:keepNext w:val="0"/>
        <w:keepLines w:val="0"/>
        <w:pageBreakBefore w:val="0"/>
        <w:widowControl/>
        <w:suppressLineNumbers w:val="0"/>
        <w:overflowPunct/>
        <w:topLinePunct w:val="0"/>
        <w:bidi w:val="0"/>
        <w:spacing w:before="102" w:beforeAutospacing="0" w:after="0" w:afterAutospacing="0" w:line="560" w:lineRule="exact"/>
        <w:ind w:left="447"/>
        <w:rPr>
          <w:sz w:val="31"/>
          <w:szCs w:val="31"/>
        </w:rPr>
      </w:pPr>
      <w:r>
        <w:rPr>
          <w:rFonts w:hint="eastAsia" w:ascii="黑体" w:hAnsi="宋体" w:eastAsia="黑体" w:cs="黑体"/>
          <w:i w:val="0"/>
          <w:iCs w:val="0"/>
          <w:caps w:val="0"/>
          <w:color w:val="333333"/>
          <w:spacing w:val="-3"/>
          <w:sz w:val="31"/>
          <w:szCs w:val="31"/>
        </w:rPr>
        <w:t>四、政府信息公开行政复议、行政诉讼情况</w:t>
      </w:r>
    </w:p>
    <w:p w14:paraId="376734E2">
      <w:pPr>
        <w:pStyle w:val="3"/>
        <w:keepNext w:val="0"/>
        <w:keepLines w:val="0"/>
        <w:pageBreakBefore w:val="0"/>
        <w:widowControl/>
        <w:suppressLineNumbers w:val="0"/>
        <w:overflowPunct/>
        <w:topLinePunct w:val="0"/>
        <w:bidi w:val="0"/>
        <w:spacing w:before="0" w:beforeAutospacing="0" w:after="0" w:afterAutospacing="0" w:line="560" w:lineRule="exact"/>
      </w:pPr>
      <w:r>
        <w:rPr>
          <w:rFonts w:hint="default" w:ascii="sans-serif" w:hAnsi="sans-serif" w:eastAsia="sans-serif" w:cs="sans-serif"/>
          <w:i w:val="0"/>
          <w:iCs w:val="0"/>
          <w:caps w:val="0"/>
          <w:color w:val="000000"/>
          <w:spacing w:val="0"/>
          <w:sz w:val="27"/>
          <w:szCs w:val="27"/>
        </w:rPr>
        <w:t> </w:t>
      </w:r>
    </w:p>
    <w:tbl>
      <w:tblPr>
        <w:tblW w:w="10545" w:type="dxa"/>
        <w:tblInd w:w="234" w:type="dxa"/>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Layout w:type="autofit"/>
        <w:tblCellMar>
          <w:top w:w="75" w:type="dxa"/>
          <w:left w:w="150" w:type="dxa"/>
          <w:bottom w:w="75" w:type="dxa"/>
          <w:right w:w="150" w:type="dxa"/>
        </w:tblCellMar>
      </w:tblPr>
      <w:tblGrid>
        <w:gridCol w:w="1086"/>
        <w:gridCol w:w="1077"/>
        <w:gridCol w:w="1075"/>
        <w:gridCol w:w="700"/>
        <w:gridCol w:w="1003"/>
        <w:gridCol w:w="1022"/>
        <w:gridCol w:w="1077"/>
        <w:gridCol w:w="1076"/>
        <w:gridCol w:w="701"/>
        <w:gridCol w:w="642"/>
        <w:gridCol w:w="1077"/>
        <w:gridCol w:w="1077"/>
        <w:gridCol w:w="1075"/>
        <w:gridCol w:w="702"/>
        <w:gridCol w:w="642"/>
      </w:tblGrid>
      <w:tr w14:paraId="76A6F261">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08" w:hRule="atLeast"/>
        </w:trPr>
        <w:tc>
          <w:tcPr>
            <w:tcW w:w="3064" w:type="dxa"/>
            <w:gridSpan w:val="5"/>
            <w:tcBorders>
              <w:top w:val="outset" w:color="auto" w:sz="6" w:space="0"/>
              <w:left w:val="outset" w:color="auto" w:sz="6" w:space="0"/>
              <w:bottom w:val="single" w:color="000000" w:sz="6" w:space="0"/>
              <w:right w:val="single" w:color="000000" w:sz="6" w:space="0"/>
            </w:tcBorders>
            <w:shd w:val="clear"/>
            <w:vAlign w:val="top"/>
          </w:tcPr>
          <w:p w14:paraId="044F85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153" w:beforeAutospacing="0" w:after="0" w:afterAutospacing="0" w:line="560" w:lineRule="exact"/>
              <w:ind w:left="1162" w:right="0"/>
              <w:rPr>
                <w:sz w:val="19"/>
                <w:szCs w:val="19"/>
              </w:rPr>
            </w:pPr>
            <w:r>
              <w:rPr>
                <w:rFonts w:hint="eastAsia" w:ascii="黑体" w:hAnsi="宋体" w:eastAsia="黑体" w:cs="黑体"/>
                <w:spacing w:val="-1"/>
                <w:sz w:val="19"/>
                <w:szCs w:val="19"/>
                <w:bdr w:val="none" w:color="auto" w:sz="0" w:space="0"/>
              </w:rPr>
              <w:t>行政复议</w:t>
            </w:r>
          </w:p>
        </w:tc>
        <w:tc>
          <w:tcPr>
            <w:tcW w:w="5981" w:type="dxa"/>
            <w:gridSpan w:val="10"/>
            <w:tcBorders>
              <w:top w:val="outset" w:color="auto" w:sz="6" w:space="0"/>
              <w:left w:val="single" w:color="000000" w:sz="6" w:space="0"/>
              <w:bottom w:val="single" w:color="000000" w:sz="6" w:space="0"/>
              <w:right w:val="outset" w:color="auto" w:sz="6" w:space="0"/>
            </w:tcBorders>
            <w:shd w:val="clear"/>
            <w:vAlign w:val="top"/>
          </w:tcPr>
          <w:p w14:paraId="7D2E6F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153" w:beforeAutospacing="0" w:after="0" w:afterAutospacing="0" w:line="560" w:lineRule="exact"/>
              <w:ind w:left="2619" w:right="0"/>
              <w:rPr>
                <w:sz w:val="19"/>
                <w:szCs w:val="19"/>
              </w:rPr>
            </w:pPr>
            <w:r>
              <w:rPr>
                <w:rFonts w:hint="eastAsia" w:ascii="黑体" w:hAnsi="宋体" w:eastAsia="黑体" w:cs="黑体"/>
                <w:spacing w:val="-1"/>
                <w:sz w:val="19"/>
                <w:szCs w:val="19"/>
                <w:bdr w:val="none" w:color="auto" w:sz="0" w:space="0"/>
              </w:rPr>
              <w:t>行政诉讼</w:t>
            </w:r>
          </w:p>
        </w:tc>
      </w:tr>
      <w:tr w14:paraId="3737E896">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75" w:type="dxa"/>
            <w:left w:w="150" w:type="dxa"/>
            <w:bottom w:w="75" w:type="dxa"/>
            <w:right w:w="150" w:type="dxa"/>
          </w:tblCellMar>
        </w:tblPrEx>
        <w:trPr>
          <w:trHeight w:val="549" w:hRule="atLeast"/>
        </w:trPr>
        <w:tc>
          <w:tcPr>
            <w:tcW w:w="598" w:type="dxa"/>
            <w:vMerge w:val="restart"/>
            <w:tcBorders>
              <w:top w:val="single" w:color="000000" w:sz="6" w:space="0"/>
              <w:left w:val="outset" w:color="auto" w:sz="6" w:space="0"/>
              <w:bottom w:val="single" w:color="000000" w:sz="6" w:space="0"/>
              <w:right w:val="single" w:color="000000" w:sz="6" w:space="0"/>
            </w:tcBorders>
            <w:shd w:val="clear"/>
            <w:vAlign w:val="top"/>
          </w:tcPr>
          <w:p w14:paraId="792647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pPr>
            <w:r>
              <w:rPr>
                <w:bdr w:val="none" w:color="auto" w:sz="0" w:space="0"/>
              </w:rPr>
              <w:t> </w:t>
            </w:r>
          </w:p>
          <w:p w14:paraId="3EEF35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62" w:beforeAutospacing="0" w:after="0" w:afterAutospacing="0" w:line="560" w:lineRule="exact"/>
              <w:ind w:left="124" w:right="91"/>
              <w:rPr>
                <w:sz w:val="19"/>
                <w:szCs w:val="19"/>
              </w:rPr>
            </w:pPr>
            <w:r>
              <w:rPr>
                <w:rFonts w:hint="eastAsia" w:ascii="黑体" w:hAnsi="宋体" w:eastAsia="黑体" w:cs="黑体"/>
                <w:sz w:val="19"/>
                <w:szCs w:val="19"/>
                <w:bdr w:val="none" w:color="auto" w:sz="0" w:space="0"/>
              </w:rPr>
              <w:t>结果 </w:t>
            </w:r>
            <w:r>
              <w:rPr>
                <w:rFonts w:hint="eastAsia" w:ascii="黑体" w:hAnsi="宋体" w:eastAsia="黑体" w:cs="黑体"/>
                <w:spacing w:val="1"/>
                <w:sz w:val="19"/>
                <w:szCs w:val="19"/>
                <w:bdr w:val="none" w:color="auto" w:sz="0" w:space="0"/>
              </w:rPr>
              <w:t>维持</w:t>
            </w:r>
          </w:p>
        </w:tc>
        <w:tc>
          <w:tcPr>
            <w:tcW w:w="588" w:type="dxa"/>
            <w:vMerge w:val="restart"/>
            <w:tcBorders>
              <w:top w:val="single" w:color="000000" w:sz="6" w:space="0"/>
              <w:left w:val="single" w:color="000000" w:sz="6" w:space="0"/>
              <w:bottom w:val="single" w:color="000000" w:sz="6" w:space="0"/>
              <w:right w:val="single" w:color="000000" w:sz="6" w:space="0"/>
            </w:tcBorders>
            <w:shd w:val="clear"/>
            <w:vAlign w:val="top"/>
          </w:tcPr>
          <w:p w14:paraId="1ED170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pPr>
            <w:r>
              <w:rPr>
                <w:bdr w:val="none" w:color="auto" w:sz="0" w:space="0"/>
              </w:rPr>
              <w:t> </w:t>
            </w:r>
          </w:p>
          <w:p w14:paraId="056FED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62" w:beforeAutospacing="0" w:after="0" w:afterAutospacing="0" w:line="560" w:lineRule="exact"/>
              <w:ind w:left="150" w:right="58" w:hanging="2"/>
              <w:rPr>
                <w:sz w:val="19"/>
                <w:szCs w:val="19"/>
              </w:rPr>
            </w:pPr>
            <w:r>
              <w:rPr>
                <w:rFonts w:hint="eastAsia" w:ascii="黑体" w:hAnsi="宋体" w:eastAsia="黑体" w:cs="黑体"/>
                <w:sz w:val="19"/>
                <w:szCs w:val="19"/>
                <w:bdr w:val="none" w:color="auto" w:sz="0" w:space="0"/>
              </w:rPr>
              <w:t>结果 </w:t>
            </w:r>
            <w:r>
              <w:rPr>
                <w:rFonts w:hint="eastAsia" w:ascii="黑体" w:hAnsi="宋体" w:eastAsia="黑体" w:cs="黑体"/>
                <w:spacing w:val="-1"/>
                <w:sz w:val="19"/>
                <w:szCs w:val="19"/>
                <w:bdr w:val="none" w:color="auto" w:sz="0" w:space="0"/>
              </w:rPr>
              <w:t>纠正</w:t>
            </w:r>
          </w:p>
        </w:tc>
        <w:tc>
          <w:tcPr>
            <w:tcW w:w="588" w:type="dxa"/>
            <w:vMerge w:val="restart"/>
            <w:tcBorders>
              <w:top w:val="single" w:color="000000" w:sz="6" w:space="0"/>
              <w:left w:val="single" w:color="000000" w:sz="6" w:space="0"/>
              <w:bottom w:val="single" w:color="000000" w:sz="6" w:space="0"/>
              <w:right w:val="single" w:color="000000" w:sz="6" w:space="0"/>
            </w:tcBorders>
            <w:shd w:val="clear"/>
            <w:vAlign w:val="top"/>
          </w:tcPr>
          <w:p w14:paraId="0CDEDE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pPr>
            <w:r>
              <w:rPr>
                <w:bdr w:val="none" w:color="auto" w:sz="0" w:space="0"/>
              </w:rPr>
              <w:t> </w:t>
            </w:r>
          </w:p>
          <w:p w14:paraId="011BE1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62" w:beforeAutospacing="0" w:after="0" w:afterAutospacing="0" w:line="560" w:lineRule="exact"/>
              <w:ind w:left="114" w:right="92" w:firstLine="3"/>
              <w:rPr>
                <w:sz w:val="19"/>
                <w:szCs w:val="19"/>
              </w:rPr>
            </w:pPr>
            <w:r>
              <w:rPr>
                <w:rFonts w:hint="eastAsia" w:ascii="黑体" w:hAnsi="宋体" w:eastAsia="黑体" w:cs="黑体"/>
                <w:spacing w:val="-1"/>
                <w:sz w:val="19"/>
                <w:szCs w:val="19"/>
                <w:bdr w:val="none" w:color="auto" w:sz="0" w:space="0"/>
              </w:rPr>
              <w:t>其他</w:t>
            </w:r>
            <w:r>
              <w:rPr>
                <w:rFonts w:hint="eastAsia" w:ascii="黑体" w:hAnsi="宋体" w:eastAsia="黑体" w:cs="黑体"/>
                <w:sz w:val="19"/>
                <w:szCs w:val="19"/>
                <w:bdr w:val="none" w:color="auto" w:sz="0" w:space="0"/>
              </w:rPr>
              <w:t> 结果</w:t>
            </w:r>
          </w:p>
        </w:tc>
        <w:tc>
          <w:tcPr>
            <w:tcW w:w="588" w:type="dxa"/>
            <w:vMerge w:val="restart"/>
            <w:tcBorders>
              <w:top w:val="single" w:color="000000" w:sz="6" w:space="0"/>
              <w:left w:val="single" w:color="000000" w:sz="6" w:space="0"/>
              <w:bottom w:val="single" w:color="000000" w:sz="6" w:space="0"/>
              <w:right w:val="single" w:color="000000" w:sz="6" w:space="0"/>
            </w:tcBorders>
            <w:shd w:val="clear"/>
            <w:vAlign w:val="top"/>
          </w:tcPr>
          <w:p w14:paraId="1D2D81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pPr>
            <w:r>
              <w:rPr>
                <w:bdr w:val="none" w:color="auto" w:sz="0" w:space="0"/>
              </w:rPr>
              <w:t> </w:t>
            </w:r>
          </w:p>
          <w:p w14:paraId="373491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62" w:beforeAutospacing="0" w:after="0" w:afterAutospacing="0" w:line="560" w:lineRule="exact"/>
              <w:ind w:left="114" w:right="97" w:firstLine="5"/>
              <w:rPr>
                <w:sz w:val="19"/>
                <w:szCs w:val="19"/>
              </w:rPr>
            </w:pPr>
            <w:r>
              <w:rPr>
                <w:rFonts w:hint="eastAsia" w:ascii="黑体" w:hAnsi="宋体" w:eastAsia="黑体" w:cs="黑体"/>
                <w:spacing w:val="-6"/>
                <w:sz w:val="19"/>
                <w:szCs w:val="19"/>
                <w:bdr w:val="none" w:color="auto" w:sz="0" w:space="0"/>
              </w:rPr>
              <w:t>尚未</w:t>
            </w:r>
            <w:r>
              <w:rPr>
                <w:rFonts w:hint="eastAsia" w:ascii="黑体" w:hAnsi="宋体" w:eastAsia="黑体" w:cs="黑体"/>
                <w:spacing w:val="-3"/>
                <w:sz w:val="19"/>
                <w:szCs w:val="19"/>
                <w:bdr w:val="none" w:color="auto" w:sz="0" w:space="0"/>
              </w:rPr>
              <w:t>审结</w:t>
            </w:r>
          </w:p>
        </w:tc>
        <w:tc>
          <w:tcPr>
            <w:tcW w:w="642" w:type="dxa"/>
            <w:vMerge w:val="restart"/>
            <w:tcBorders>
              <w:top w:val="single" w:color="000000" w:sz="6" w:space="0"/>
              <w:left w:val="single" w:color="000000" w:sz="6" w:space="0"/>
              <w:bottom w:val="single" w:color="000000" w:sz="6" w:space="0"/>
              <w:right w:val="single" w:color="000000" w:sz="6" w:space="0"/>
            </w:tcBorders>
            <w:shd w:val="clear"/>
            <w:vAlign w:val="top"/>
          </w:tcPr>
          <w:p w14:paraId="14DE5B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219" w:beforeAutospacing="0" w:after="0" w:afterAutospacing="0" w:line="560" w:lineRule="exact"/>
              <w:ind w:left="502" w:right="0"/>
              <w:rPr>
                <w:sz w:val="19"/>
                <w:szCs w:val="19"/>
              </w:rPr>
            </w:pPr>
            <w:r>
              <w:rPr>
                <w:rFonts w:hint="eastAsia" w:ascii="黑体" w:hAnsi="宋体" w:eastAsia="黑体" w:cs="黑体"/>
                <w:spacing w:val="11"/>
                <w:sz w:val="19"/>
                <w:szCs w:val="19"/>
                <w:bdr w:val="none" w:color="auto" w:sz="0" w:space="0"/>
              </w:rPr>
              <w:t>总计</w:t>
            </w:r>
          </w:p>
        </w:tc>
        <w:tc>
          <w:tcPr>
            <w:tcW w:w="2950" w:type="dxa"/>
            <w:gridSpan w:val="5"/>
            <w:tcBorders>
              <w:top w:val="single" w:color="000000" w:sz="6" w:space="0"/>
              <w:left w:val="single" w:color="000000" w:sz="6" w:space="0"/>
              <w:bottom w:val="single" w:color="000000" w:sz="6" w:space="0"/>
              <w:right w:val="single" w:color="000000" w:sz="6" w:space="0"/>
            </w:tcBorders>
            <w:shd w:val="clear"/>
            <w:vAlign w:val="top"/>
          </w:tcPr>
          <w:p w14:paraId="40F07A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173" w:beforeAutospacing="0" w:after="0" w:afterAutospacing="0" w:line="560" w:lineRule="exact"/>
              <w:ind w:left="730" w:right="0"/>
              <w:rPr>
                <w:sz w:val="19"/>
                <w:szCs w:val="19"/>
              </w:rPr>
            </w:pPr>
            <w:r>
              <w:rPr>
                <w:rFonts w:hint="eastAsia" w:ascii="黑体" w:hAnsi="宋体" w:eastAsia="黑体" w:cs="黑体"/>
                <w:spacing w:val="-1"/>
                <w:sz w:val="19"/>
                <w:szCs w:val="19"/>
                <w:bdr w:val="none" w:color="auto" w:sz="0" w:space="0"/>
              </w:rPr>
              <w:t>未经复议直接起诉</w:t>
            </w:r>
          </w:p>
        </w:tc>
        <w:tc>
          <w:tcPr>
            <w:tcW w:w="3016" w:type="dxa"/>
            <w:gridSpan w:val="5"/>
            <w:tcBorders>
              <w:top w:val="single" w:color="000000" w:sz="6" w:space="0"/>
              <w:left w:val="single" w:color="000000" w:sz="6" w:space="0"/>
              <w:bottom w:val="single" w:color="000000" w:sz="6" w:space="0"/>
              <w:right w:val="outset" w:color="auto" w:sz="6" w:space="0"/>
            </w:tcBorders>
            <w:shd w:val="clear"/>
            <w:vAlign w:val="top"/>
          </w:tcPr>
          <w:p w14:paraId="590AF5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173" w:beforeAutospacing="0" w:after="0" w:afterAutospacing="0" w:line="560" w:lineRule="exact"/>
              <w:ind w:left="1046" w:right="0"/>
              <w:rPr>
                <w:sz w:val="19"/>
                <w:szCs w:val="19"/>
              </w:rPr>
            </w:pPr>
            <w:r>
              <w:rPr>
                <w:rFonts w:hint="eastAsia" w:ascii="黑体" w:hAnsi="宋体" w:eastAsia="黑体" w:cs="黑体"/>
                <w:spacing w:val="-1"/>
                <w:sz w:val="19"/>
                <w:szCs w:val="19"/>
                <w:bdr w:val="none" w:color="auto" w:sz="0" w:space="0"/>
              </w:rPr>
              <w:t>复议后起诉</w:t>
            </w:r>
          </w:p>
        </w:tc>
      </w:tr>
      <w:tr w14:paraId="12E90307">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75" w:type="dxa"/>
            <w:left w:w="150" w:type="dxa"/>
            <w:bottom w:w="75" w:type="dxa"/>
            <w:right w:w="150" w:type="dxa"/>
          </w:tblCellMar>
        </w:tblPrEx>
        <w:trPr>
          <w:trHeight w:val="906" w:hRule="atLeast"/>
        </w:trPr>
        <w:tc>
          <w:tcPr>
            <w:tcW w:w="598" w:type="dxa"/>
            <w:vMerge w:val="continue"/>
            <w:tcBorders>
              <w:top w:val="single" w:color="000000" w:sz="6" w:space="0"/>
              <w:left w:val="outset" w:color="auto" w:sz="6" w:space="0"/>
              <w:bottom w:val="single" w:color="000000" w:sz="6" w:space="0"/>
              <w:right w:val="single" w:color="000000" w:sz="6" w:space="0"/>
            </w:tcBorders>
            <w:shd w:val="clear"/>
            <w:vAlign w:val="top"/>
          </w:tcPr>
          <w:p w14:paraId="214E7FD7">
            <w:pPr>
              <w:keepNext w:val="0"/>
              <w:keepLines w:val="0"/>
              <w:pageBreakBefore w:val="0"/>
              <w:widowControl/>
              <w:overflowPunct/>
              <w:topLinePunct w:val="0"/>
              <w:bidi w:val="0"/>
              <w:spacing w:afterAutospacing="0" w:line="560" w:lineRule="exact"/>
              <w:rPr>
                <w:rFonts w:hint="eastAsia" w:ascii="宋体"/>
                <w:sz w:val="24"/>
                <w:szCs w:val="24"/>
              </w:rPr>
            </w:pPr>
          </w:p>
        </w:tc>
        <w:tc>
          <w:tcPr>
            <w:tcW w:w="588" w:type="dxa"/>
            <w:vMerge w:val="continue"/>
            <w:tcBorders>
              <w:top w:val="single" w:color="000000" w:sz="6" w:space="0"/>
              <w:left w:val="single" w:color="000000" w:sz="6" w:space="0"/>
              <w:bottom w:val="single" w:color="000000" w:sz="6" w:space="0"/>
              <w:right w:val="single" w:color="000000" w:sz="6" w:space="0"/>
            </w:tcBorders>
            <w:shd w:val="clear"/>
            <w:vAlign w:val="top"/>
          </w:tcPr>
          <w:p w14:paraId="3368EE86">
            <w:pPr>
              <w:keepNext w:val="0"/>
              <w:keepLines w:val="0"/>
              <w:pageBreakBefore w:val="0"/>
              <w:widowControl/>
              <w:overflowPunct/>
              <w:topLinePunct w:val="0"/>
              <w:bidi w:val="0"/>
              <w:spacing w:afterAutospacing="0" w:line="560" w:lineRule="exact"/>
              <w:rPr>
                <w:rFonts w:hint="eastAsia" w:ascii="宋体"/>
                <w:sz w:val="24"/>
                <w:szCs w:val="24"/>
              </w:rPr>
            </w:pPr>
          </w:p>
        </w:tc>
        <w:tc>
          <w:tcPr>
            <w:tcW w:w="588" w:type="dxa"/>
            <w:vMerge w:val="continue"/>
            <w:tcBorders>
              <w:top w:val="single" w:color="000000" w:sz="6" w:space="0"/>
              <w:left w:val="single" w:color="000000" w:sz="6" w:space="0"/>
              <w:bottom w:val="single" w:color="000000" w:sz="6" w:space="0"/>
              <w:right w:val="single" w:color="000000" w:sz="6" w:space="0"/>
            </w:tcBorders>
            <w:shd w:val="clear"/>
            <w:vAlign w:val="top"/>
          </w:tcPr>
          <w:p w14:paraId="42959620">
            <w:pPr>
              <w:keepNext w:val="0"/>
              <w:keepLines w:val="0"/>
              <w:pageBreakBefore w:val="0"/>
              <w:widowControl/>
              <w:overflowPunct/>
              <w:topLinePunct w:val="0"/>
              <w:bidi w:val="0"/>
              <w:spacing w:afterAutospacing="0" w:line="560" w:lineRule="exact"/>
              <w:rPr>
                <w:rFonts w:hint="eastAsia" w:ascii="宋体"/>
                <w:sz w:val="24"/>
                <w:szCs w:val="24"/>
              </w:rPr>
            </w:pPr>
          </w:p>
        </w:tc>
        <w:tc>
          <w:tcPr>
            <w:tcW w:w="588" w:type="dxa"/>
            <w:vMerge w:val="continue"/>
            <w:tcBorders>
              <w:top w:val="single" w:color="000000" w:sz="6" w:space="0"/>
              <w:left w:val="single" w:color="000000" w:sz="6" w:space="0"/>
              <w:bottom w:val="single" w:color="000000" w:sz="6" w:space="0"/>
              <w:right w:val="single" w:color="000000" w:sz="6" w:space="0"/>
            </w:tcBorders>
            <w:shd w:val="clear"/>
            <w:vAlign w:val="top"/>
          </w:tcPr>
          <w:p w14:paraId="0561B709">
            <w:pPr>
              <w:keepNext w:val="0"/>
              <w:keepLines w:val="0"/>
              <w:pageBreakBefore w:val="0"/>
              <w:widowControl/>
              <w:overflowPunct/>
              <w:topLinePunct w:val="0"/>
              <w:bidi w:val="0"/>
              <w:spacing w:afterAutospacing="0" w:line="560" w:lineRule="exact"/>
              <w:rPr>
                <w:rFonts w:hint="eastAsia" w:ascii="宋体"/>
                <w:sz w:val="24"/>
                <w:szCs w:val="24"/>
              </w:rPr>
            </w:pPr>
          </w:p>
        </w:tc>
        <w:tc>
          <w:tcPr>
            <w:tcW w:w="642" w:type="dxa"/>
            <w:vMerge w:val="continue"/>
            <w:tcBorders>
              <w:top w:val="single" w:color="000000" w:sz="6" w:space="0"/>
              <w:left w:val="single" w:color="000000" w:sz="6" w:space="0"/>
              <w:bottom w:val="single" w:color="000000" w:sz="6" w:space="0"/>
              <w:right w:val="single" w:color="000000" w:sz="6" w:space="0"/>
            </w:tcBorders>
            <w:shd w:val="clear"/>
            <w:vAlign w:val="top"/>
          </w:tcPr>
          <w:p w14:paraId="016C49C7">
            <w:pPr>
              <w:keepNext w:val="0"/>
              <w:keepLines w:val="0"/>
              <w:pageBreakBefore w:val="0"/>
              <w:widowControl/>
              <w:overflowPunct/>
              <w:topLinePunct w:val="0"/>
              <w:bidi w:val="0"/>
              <w:spacing w:afterAutospacing="0" w:line="560" w:lineRule="exact"/>
              <w:rPr>
                <w:rFonts w:hint="eastAsia" w:ascii="宋体"/>
                <w:sz w:val="24"/>
                <w:szCs w:val="24"/>
              </w:rPr>
            </w:pPr>
          </w:p>
        </w:tc>
        <w:tc>
          <w:tcPr>
            <w:tcW w:w="534" w:type="dxa"/>
            <w:tcBorders>
              <w:top w:val="single" w:color="000000" w:sz="6" w:space="0"/>
              <w:left w:val="single" w:color="000000" w:sz="6" w:space="0"/>
              <w:bottom w:val="single" w:color="000000" w:sz="6" w:space="0"/>
              <w:right w:val="single" w:color="000000" w:sz="6" w:space="0"/>
            </w:tcBorders>
            <w:shd w:val="clear"/>
            <w:vAlign w:val="top"/>
          </w:tcPr>
          <w:p w14:paraId="63C643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199" w:beforeAutospacing="0" w:after="0" w:afterAutospacing="0" w:line="560" w:lineRule="exact"/>
              <w:ind w:left="93" w:right="58"/>
              <w:rPr>
                <w:sz w:val="19"/>
                <w:szCs w:val="19"/>
              </w:rPr>
            </w:pPr>
            <w:r>
              <w:rPr>
                <w:rFonts w:hint="eastAsia" w:ascii="黑体" w:hAnsi="宋体" w:eastAsia="黑体" w:cs="黑体"/>
                <w:sz w:val="19"/>
                <w:szCs w:val="19"/>
                <w:bdr w:val="none" w:color="auto" w:sz="0" w:space="0"/>
              </w:rPr>
              <w:t>结果 </w:t>
            </w:r>
            <w:r>
              <w:rPr>
                <w:rFonts w:hint="eastAsia" w:ascii="黑体" w:hAnsi="宋体" w:eastAsia="黑体" w:cs="黑体"/>
                <w:spacing w:val="1"/>
                <w:sz w:val="19"/>
                <w:szCs w:val="19"/>
                <w:bdr w:val="none" w:color="auto" w:sz="0" w:space="0"/>
              </w:rPr>
              <w:t>维持</w:t>
            </w:r>
          </w:p>
        </w:tc>
        <w:tc>
          <w:tcPr>
            <w:tcW w:w="589" w:type="dxa"/>
            <w:tcBorders>
              <w:top w:val="single" w:color="000000" w:sz="6" w:space="0"/>
              <w:left w:val="single" w:color="000000" w:sz="6" w:space="0"/>
              <w:bottom w:val="single" w:color="000000" w:sz="6" w:space="0"/>
              <w:right w:val="single" w:color="000000" w:sz="6" w:space="0"/>
            </w:tcBorders>
            <w:shd w:val="clear"/>
            <w:vAlign w:val="top"/>
          </w:tcPr>
          <w:p w14:paraId="178A20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199" w:beforeAutospacing="0" w:after="0" w:afterAutospacing="0" w:line="560" w:lineRule="exact"/>
              <w:ind w:left="113" w:right="95" w:hanging="2"/>
              <w:rPr>
                <w:sz w:val="19"/>
                <w:szCs w:val="19"/>
              </w:rPr>
            </w:pPr>
            <w:r>
              <w:rPr>
                <w:rFonts w:hint="eastAsia" w:ascii="黑体" w:hAnsi="宋体" w:eastAsia="黑体" w:cs="黑体"/>
                <w:sz w:val="19"/>
                <w:szCs w:val="19"/>
                <w:bdr w:val="none" w:color="auto" w:sz="0" w:space="0"/>
              </w:rPr>
              <w:t>结果 </w:t>
            </w:r>
            <w:r>
              <w:rPr>
                <w:rFonts w:hint="eastAsia" w:ascii="黑体" w:hAnsi="宋体" w:eastAsia="黑体" w:cs="黑体"/>
                <w:spacing w:val="-1"/>
                <w:sz w:val="19"/>
                <w:szCs w:val="19"/>
                <w:bdr w:val="none" w:color="auto" w:sz="0" w:space="0"/>
              </w:rPr>
              <w:t>纠正</w:t>
            </w:r>
          </w:p>
        </w:tc>
        <w:tc>
          <w:tcPr>
            <w:tcW w:w="589" w:type="dxa"/>
            <w:tcBorders>
              <w:top w:val="single" w:color="000000" w:sz="6" w:space="0"/>
              <w:left w:val="single" w:color="000000" w:sz="6" w:space="0"/>
              <w:bottom w:val="single" w:color="000000" w:sz="6" w:space="0"/>
              <w:right w:val="single" w:color="000000" w:sz="6" w:space="0"/>
            </w:tcBorders>
            <w:shd w:val="clear"/>
            <w:vAlign w:val="top"/>
          </w:tcPr>
          <w:p w14:paraId="2F030E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199" w:beforeAutospacing="0" w:after="0" w:afterAutospacing="0" w:line="560" w:lineRule="exact"/>
              <w:ind w:left="117" w:right="90" w:firstLine="3"/>
              <w:rPr>
                <w:sz w:val="19"/>
                <w:szCs w:val="19"/>
              </w:rPr>
            </w:pPr>
            <w:r>
              <w:rPr>
                <w:rFonts w:hint="eastAsia" w:ascii="黑体" w:hAnsi="宋体" w:eastAsia="黑体" w:cs="黑体"/>
                <w:spacing w:val="-1"/>
                <w:sz w:val="19"/>
                <w:szCs w:val="19"/>
                <w:bdr w:val="none" w:color="auto" w:sz="0" w:space="0"/>
              </w:rPr>
              <w:t>其他</w:t>
            </w:r>
            <w:r>
              <w:rPr>
                <w:rFonts w:hint="eastAsia" w:ascii="黑体" w:hAnsi="宋体" w:eastAsia="黑体" w:cs="黑体"/>
                <w:sz w:val="19"/>
                <w:szCs w:val="19"/>
                <w:bdr w:val="none" w:color="auto" w:sz="0" w:space="0"/>
              </w:rPr>
              <w:t> 结果</w:t>
            </w:r>
          </w:p>
        </w:tc>
        <w:tc>
          <w:tcPr>
            <w:tcW w:w="589" w:type="dxa"/>
            <w:tcBorders>
              <w:top w:val="single" w:color="000000" w:sz="6" w:space="0"/>
              <w:left w:val="single" w:color="000000" w:sz="6" w:space="0"/>
              <w:bottom w:val="single" w:color="000000" w:sz="6" w:space="0"/>
              <w:right w:val="single" w:color="000000" w:sz="6" w:space="0"/>
            </w:tcBorders>
            <w:shd w:val="clear"/>
            <w:vAlign w:val="top"/>
          </w:tcPr>
          <w:p w14:paraId="01BE89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199" w:beforeAutospacing="0" w:after="0" w:afterAutospacing="0" w:line="560" w:lineRule="exact"/>
              <w:ind w:left="114" w:right="98" w:firstLine="5"/>
              <w:rPr>
                <w:sz w:val="19"/>
                <w:szCs w:val="19"/>
              </w:rPr>
            </w:pPr>
            <w:r>
              <w:rPr>
                <w:rFonts w:hint="eastAsia" w:ascii="黑体" w:hAnsi="宋体" w:eastAsia="黑体" w:cs="黑体"/>
                <w:spacing w:val="-6"/>
                <w:sz w:val="19"/>
                <w:szCs w:val="19"/>
                <w:bdr w:val="none" w:color="auto" w:sz="0" w:space="0"/>
              </w:rPr>
              <w:t>尚未</w:t>
            </w:r>
            <w:r>
              <w:rPr>
                <w:rFonts w:hint="eastAsia" w:ascii="黑体" w:hAnsi="宋体" w:eastAsia="黑体" w:cs="黑体"/>
                <w:spacing w:val="-3"/>
                <w:sz w:val="19"/>
                <w:szCs w:val="19"/>
                <w:bdr w:val="none" w:color="auto" w:sz="0" w:space="0"/>
              </w:rPr>
              <w:t>审结</w:t>
            </w:r>
          </w:p>
        </w:tc>
        <w:tc>
          <w:tcPr>
            <w:tcW w:w="589" w:type="dxa"/>
            <w:tcBorders>
              <w:top w:val="single" w:color="000000" w:sz="6" w:space="0"/>
              <w:left w:val="single" w:color="000000" w:sz="6" w:space="0"/>
              <w:bottom w:val="single" w:color="000000" w:sz="6" w:space="0"/>
              <w:right w:val="single" w:color="000000" w:sz="6" w:space="0"/>
            </w:tcBorders>
            <w:shd w:val="clear"/>
            <w:vAlign w:val="top"/>
          </w:tcPr>
          <w:p w14:paraId="08FA37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pPr>
            <w:r>
              <w:rPr>
                <w:bdr w:val="none" w:color="auto" w:sz="0" w:space="0"/>
              </w:rPr>
              <w:t> </w:t>
            </w:r>
          </w:p>
          <w:p w14:paraId="0B9CD9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62" w:beforeAutospacing="0" w:after="0" w:afterAutospacing="0" w:line="560" w:lineRule="exact"/>
              <w:ind w:left="118" w:right="0"/>
              <w:rPr>
                <w:sz w:val="19"/>
                <w:szCs w:val="19"/>
              </w:rPr>
            </w:pPr>
            <w:r>
              <w:rPr>
                <w:rFonts w:hint="eastAsia" w:ascii="黑体" w:hAnsi="宋体" w:eastAsia="黑体" w:cs="黑体"/>
                <w:spacing w:val="-2"/>
                <w:sz w:val="19"/>
                <w:szCs w:val="19"/>
                <w:bdr w:val="none" w:color="auto" w:sz="0" w:space="0"/>
              </w:rPr>
              <w:t>总计</w:t>
            </w:r>
          </w:p>
        </w:tc>
        <w:tc>
          <w:tcPr>
            <w:tcW w:w="589" w:type="dxa"/>
            <w:tcBorders>
              <w:top w:val="single" w:color="000000" w:sz="6" w:space="0"/>
              <w:left w:val="single" w:color="000000" w:sz="6" w:space="0"/>
              <w:bottom w:val="single" w:color="000000" w:sz="6" w:space="0"/>
              <w:right w:val="single" w:color="000000" w:sz="6" w:space="0"/>
            </w:tcBorders>
            <w:shd w:val="clear"/>
            <w:vAlign w:val="top"/>
          </w:tcPr>
          <w:p w14:paraId="21335B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199" w:beforeAutospacing="0" w:after="0" w:afterAutospacing="0" w:line="560" w:lineRule="exact"/>
              <w:ind w:left="104" w:right="102"/>
              <w:rPr>
                <w:sz w:val="19"/>
                <w:szCs w:val="19"/>
              </w:rPr>
            </w:pPr>
            <w:r>
              <w:rPr>
                <w:rFonts w:hint="eastAsia" w:ascii="黑体" w:hAnsi="宋体" w:eastAsia="黑体" w:cs="黑体"/>
                <w:sz w:val="19"/>
                <w:szCs w:val="19"/>
                <w:bdr w:val="none" w:color="auto" w:sz="0" w:space="0"/>
              </w:rPr>
              <w:t>结果 </w:t>
            </w:r>
            <w:r>
              <w:rPr>
                <w:rFonts w:hint="eastAsia" w:ascii="黑体" w:hAnsi="宋体" w:eastAsia="黑体" w:cs="黑体"/>
                <w:spacing w:val="1"/>
                <w:sz w:val="19"/>
                <w:szCs w:val="19"/>
                <w:bdr w:val="none" w:color="auto" w:sz="0" w:space="0"/>
              </w:rPr>
              <w:t>维持</w:t>
            </w:r>
          </w:p>
        </w:tc>
        <w:tc>
          <w:tcPr>
            <w:tcW w:w="589" w:type="dxa"/>
            <w:tcBorders>
              <w:top w:val="single" w:color="000000" w:sz="6" w:space="0"/>
              <w:left w:val="single" w:color="000000" w:sz="6" w:space="0"/>
              <w:bottom w:val="single" w:color="000000" w:sz="6" w:space="0"/>
              <w:right w:val="single" w:color="000000" w:sz="6" w:space="0"/>
            </w:tcBorders>
            <w:shd w:val="clear"/>
            <w:vAlign w:val="top"/>
          </w:tcPr>
          <w:p w14:paraId="473E96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199" w:beforeAutospacing="0" w:after="0" w:afterAutospacing="0" w:line="560" w:lineRule="exact"/>
              <w:ind w:left="112" w:right="96" w:hanging="2"/>
              <w:rPr>
                <w:sz w:val="19"/>
                <w:szCs w:val="19"/>
              </w:rPr>
            </w:pPr>
            <w:r>
              <w:rPr>
                <w:rFonts w:hint="eastAsia" w:ascii="黑体" w:hAnsi="宋体" w:eastAsia="黑体" w:cs="黑体"/>
                <w:sz w:val="19"/>
                <w:szCs w:val="19"/>
                <w:bdr w:val="none" w:color="auto" w:sz="0" w:space="0"/>
              </w:rPr>
              <w:t>结果 </w:t>
            </w:r>
            <w:r>
              <w:rPr>
                <w:rFonts w:hint="eastAsia" w:ascii="黑体" w:hAnsi="宋体" w:eastAsia="黑体" w:cs="黑体"/>
                <w:spacing w:val="-1"/>
                <w:sz w:val="19"/>
                <w:szCs w:val="19"/>
                <w:bdr w:val="none" w:color="auto" w:sz="0" w:space="0"/>
              </w:rPr>
              <w:t>纠正</w:t>
            </w:r>
          </w:p>
        </w:tc>
        <w:tc>
          <w:tcPr>
            <w:tcW w:w="589" w:type="dxa"/>
            <w:tcBorders>
              <w:top w:val="single" w:color="000000" w:sz="6" w:space="0"/>
              <w:left w:val="single" w:color="000000" w:sz="6" w:space="0"/>
              <w:bottom w:val="single" w:color="000000" w:sz="6" w:space="0"/>
              <w:right w:val="single" w:color="000000" w:sz="6" w:space="0"/>
            </w:tcBorders>
            <w:shd w:val="clear"/>
            <w:vAlign w:val="top"/>
          </w:tcPr>
          <w:p w14:paraId="762EDF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199" w:beforeAutospacing="0" w:after="0" w:afterAutospacing="0" w:line="560" w:lineRule="exact"/>
              <w:ind w:left="99" w:right="107" w:firstLine="3"/>
              <w:rPr>
                <w:sz w:val="19"/>
                <w:szCs w:val="19"/>
              </w:rPr>
            </w:pPr>
            <w:r>
              <w:rPr>
                <w:rFonts w:hint="eastAsia" w:ascii="黑体" w:hAnsi="宋体" w:eastAsia="黑体" w:cs="黑体"/>
                <w:spacing w:val="-1"/>
                <w:sz w:val="19"/>
                <w:szCs w:val="19"/>
                <w:bdr w:val="none" w:color="auto" w:sz="0" w:space="0"/>
              </w:rPr>
              <w:t>其他</w:t>
            </w:r>
            <w:r>
              <w:rPr>
                <w:rFonts w:hint="eastAsia" w:ascii="黑体" w:hAnsi="宋体" w:eastAsia="黑体" w:cs="黑体"/>
                <w:sz w:val="19"/>
                <w:szCs w:val="19"/>
                <w:bdr w:val="none" w:color="auto" w:sz="0" w:space="0"/>
              </w:rPr>
              <w:t> 结果</w:t>
            </w:r>
          </w:p>
        </w:tc>
        <w:tc>
          <w:tcPr>
            <w:tcW w:w="590" w:type="dxa"/>
            <w:tcBorders>
              <w:top w:val="single" w:color="000000" w:sz="6" w:space="0"/>
              <w:left w:val="single" w:color="000000" w:sz="6" w:space="0"/>
              <w:bottom w:val="single" w:color="000000" w:sz="6" w:space="0"/>
              <w:right w:val="single" w:color="000000" w:sz="6" w:space="0"/>
            </w:tcBorders>
            <w:shd w:val="clear"/>
            <w:vAlign w:val="top"/>
          </w:tcPr>
          <w:p w14:paraId="694CFC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199" w:beforeAutospacing="0" w:after="0" w:afterAutospacing="0" w:line="560" w:lineRule="exact"/>
              <w:ind w:left="142" w:right="71" w:firstLine="5"/>
              <w:rPr>
                <w:sz w:val="19"/>
                <w:szCs w:val="19"/>
              </w:rPr>
            </w:pPr>
            <w:r>
              <w:rPr>
                <w:rFonts w:hint="eastAsia" w:ascii="黑体" w:hAnsi="宋体" w:eastAsia="黑体" w:cs="黑体"/>
                <w:spacing w:val="-6"/>
                <w:sz w:val="19"/>
                <w:szCs w:val="19"/>
                <w:bdr w:val="none" w:color="auto" w:sz="0" w:space="0"/>
              </w:rPr>
              <w:t>尚未</w:t>
            </w:r>
            <w:r>
              <w:rPr>
                <w:rFonts w:hint="eastAsia" w:ascii="黑体" w:hAnsi="宋体" w:eastAsia="黑体" w:cs="黑体"/>
                <w:spacing w:val="-3"/>
                <w:sz w:val="19"/>
                <w:szCs w:val="19"/>
                <w:bdr w:val="none" w:color="auto" w:sz="0" w:space="0"/>
              </w:rPr>
              <w:t>审结</w:t>
            </w:r>
          </w:p>
        </w:tc>
        <w:tc>
          <w:tcPr>
            <w:tcW w:w="599" w:type="dxa"/>
            <w:tcBorders>
              <w:top w:val="single" w:color="000000" w:sz="6" w:space="0"/>
              <w:left w:val="single" w:color="000000" w:sz="6" w:space="0"/>
              <w:bottom w:val="single" w:color="000000" w:sz="6" w:space="0"/>
              <w:right w:val="outset" w:color="auto" w:sz="6" w:space="0"/>
            </w:tcBorders>
            <w:shd w:val="clear"/>
            <w:vAlign w:val="top"/>
          </w:tcPr>
          <w:p w14:paraId="3B400D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60" w:lineRule="exact"/>
              <w:ind w:left="0" w:right="0"/>
            </w:pPr>
            <w:r>
              <w:rPr>
                <w:bdr w:val="none" w:color="auto" w:sz="0" w:space="0"/>
              </w:rPr>
              <w:t> </w:t>
            </w:r>
          </w:p>
          <w:p w14:paraId="73EDCE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62" w:beforeAutospacing="0" w:after="0" w:afterAutospacing="0" w:line="560" w:lineRule="exact"/>
              <w:ind w:left="124" w:right="0"/>
              <w:rPr>
                <w:sz w:val="19"/>
                <w:szCs w:val="19"/>
              </w:rPr>
            </w:pPr>
            <w:r>
              <w:rPr>
                <w:rFonts w:hint="eastAsia" w:ascii="黑体" w:hAnsi="宋体" w:eastAsia="黑体" w:cs="黑体"/>
                <w:spacing w:val="-2"/>
                <w:sz w:val="19"/>
                <w:szCs w:val="19"/>
                <w:bdr w:val="none" w:color="auto" w:sz="0" w:space="0"/>
              </w:rPr>
              <w:t>总计</w:t>
            </w:r>
          </w:p>
        </w:tc>
      </w:tr>
      <w:tr w14:paraId="7D407AA4">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75" w:type="dxa"/>
            <w:left w:w="150" w:type="dxa"/>
            <w:bottom w:w="75" w:type="dxa"/>
            <w:right w:w="150" w:type="dxa"/>
          </w:tblCellMar>
        </w:tblPrEx>
        <w:trPr>
          <w:trHeight w:val="503" w:hRule="atLeast"/>
        </w:trPr>
        <w:tc>
          <w:tcPr>
            <w:tcW w:w="598" w:type="dxa"/>
            <w:tcBorders>
              <w:top w:val="single" w:color="000000" w:sz="6" w:space="0"/>
              <w:left w:val="outset" w:color="auto" w:sz="6" w:space="0"/>
              <w:bottom w:val="outset" w:color="auto" w:sz="6" w:space="0"/>
              <w:right w:val="single" w:color="000000" w:sz="6" w:space="0"/>
            </w:tcBorders>
            <w:shd w:val="clear"/>
            <w:vAlign w:val="top"/>
          </w:tcPr>
          <w:p w14:paraId="4577FE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65" w:beforeAutospacing="0" w:after="0" w:afterAutospacing="0" w:line="560" w:lineRule="exact"/>
              <w:ind w:left="242" w:right="0"/>
              <w:rPr>
                <w:sz w:val="20"/>
                <w:szCs w:val="20"/>
              </w:rPr>
            </w:pPr>
            <w:r>
              <w:rPr>
                <w:rFonts w:ascii="仿宋_GB2312" w:hAnsi="仿宋_GB2312" w:eastAsia="仿宋_GB2312" w:cs="仿宋_GB2312"/>
                <w:sz w:val="20"/>
                <w:szCs w:val="20"/>
                <w:bdr w:val="none" w:color="auto" w:sz="0" w:space="0"/>
              </w:rPr>
              <w:t>0</w:t>
            </w:r>
          </w:p>
        </w:tc>
        <w:tc>
          <w:tcPr>
            <w:tcW w:w="588" w:type="dxa"/>
            <w:tcBorders>
              <w:top w:val="single" w:color="000000" w:sz="6" w:space="0"/>
              <w:left w:val="single" w:color="000000" w:sz="6" w:space="0"/>
              <w:bottom w:val="outset" w:color="auto" w:sz="6" w:space="0"/>
              <w:right w:val="single" w:color="000000" w:sz="6" w:space="0"/>
            </w:tcBorders>
            <w:shd w:val="clear"/>
            <w:vAlign w:val="top"/>
          </w:tcPr>
          <w:p w14:paraId="4615C0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65" w:beforeAutospacing="0" w:after="0" w:afterAutospacing="0" w:line="560" w:lineRule="exact"/>
              <w:ind w:left="242" w:right="0"/>
              <w:rPr>
                <w:sz w:val="20"/>
                <w:szCs w:val="20"/>
              </w:rPr>
            </w:pPr>
            <w:r>
              <w:rPr>
                <w:rFonts w:ascii="仿宋_GB2312" w:hAnsi="仿宋_GB2312" w:eastAsia="仿宋_GB2312" w:cs="仿宋_GB2312"/>
                <w:sz w:val="20"/>
                <w:szCs w:val="20"/>
                <w:bdr w:val="none" w:color="auto" w:sz="0" w:space="0"/>
              </w:rPr>
              <w:t>0</w:t>
            </w:r>
          </w:p>
        </w:tc>
        <w:tc>
          <w:tcPr>
            <w:tcW w:w="588" w:type="dxa"/>
            <w:tcBorders>
              <w:top w:val="single" w:color="000000" w:sz="6" w:space="0"/>
              <w:left w:val="single" w:color="000000" w:sz="6" w:space="0"/>
              <w:bottom w:val="outset" w:color="auto" w:sz="6" w:space="0"/>
              <w:right w:val="single" w:color="000000" w:sz="6" w:space="0"/>
            </w:tcBorders>
            <w:shd w:val="clear"/>
            <w:vAlign w:val="top"/>
          </w:tcPr>
          <w:p w14:paraId="7D672F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65" w:beforeAutospacing="0" w:after="0" w:afterAutospacing="0" w:line="560" w:lineRule="exact"/>
              <w:ind w:left="242" w:right="0"/>
              <w:rPr>
                <w:sz w:val="20"/>
                <w:szCs w:val="20"/>
              </w:rPr>
            </w:pPr>
            <w:r>
              <w:rPr>
                <w:rFonts w:ascii="仿宋_GB2312" w:hAnsi="仿宋_GB2312" w:eastAsia="仿宋_GB2312" w:cs="仿宋_GB2312"/>
                <w:sz w:val="20"/>
                <w:szCs w:val="20"/>
                <w:bdr w:val="none" w:color="auto" w:sz="0" w:space="0"/>
              </w:rPr>
              <w:t>0</w:t>
            </w:r>
          </w:p>
        </w:tc>
        <w:tc>
          <w:tcPr>
            <w:tcW w:w="588" w:type="dxa"/>
            <w:tcBorders>
              <w:top w:val="single" w:color="000000" w:sz="6" w:space="0"/>
              <w:left w:val="single" w:color="000000" w:sz="6" w:space="0"/>
              <w:bottom w:val="outset" w:color="auto" w:sz="6" w:space="0"/>
              <w:right w:val="single" w:color="000000" w:sz="6" w:space="0"/>
            </w:tcBorders>
            <w:shd w:val="clear"/>
            <w:vAlign w:val="top"/>
          </w:tcPr>
          <w:p w14:paraId="384AD1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65" w:beforeAutospacing="0" w:after="0" w:afterAutospacing="0" w:line="560" w:lineRule="exact"/>
              <w:ind w:left="242" w:right="0"/>
              <w:rPr>
                <w:sz w:val="20"/>
                <w:szCs w:val="20"/>
              </w:rPr>
            </w:pPr>
            <w:r>
              <w:rPr>
                <w:rFonts w:ascii="仿宋_GB2312" w:hAnsi="仿宋_GB2312" w:eastAsia="仿宋_GB2312" w:cs="仿宋_GB2312"/>
                <w:sz w:val="20"/>
                <w:szCs w:val="20"/>
                <w:bdr w:val="none" w:color="auto" w:sz="0" w:space="0"/>
              </w:rPr>
              <w:t>0</w:t>
            </w:r>
          </w:p>
        </w:tc>
        <w:tc>
          <w:tcPr>
            <w:tcW w:w="642" w:type="dxa"/>
            <w:tcBorders>
              <w:top w:val="single" w:color="000000" w:sz="6" w:space="0"/>
              <w:left w:val="single" w:color="000000" w:sz="6" w:space="0"/>
              <w:bottom w:val="outset" w:color="auto" w:sz="6" w:space="0"/>
              <w:right w:val="single" w:color="000000" w:sz="6" w:space="0"/>
            </w:tcBorders>
            <w:shd w:val="clear"/>
            <w:vAlign w:val="top"/>
          </w:tcPr>
          <w:p w14:paraId="27957D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65" w:beforeAutospacing="0" w:after="0" w:afterAutospacing="0" w:line="560" w:lineRule="exact"/>
              <w:ind w:left="242" w:right="0"/>
              <w:rPr>
                <w:sz w:val="20"/>
                <w:szCs w:val="20"/>
              </w:rPr>
            </w:pPr>
            <w:r>
              <w:rPr>
                <w:rFonts w:ascii="仿宋_GB2312" w:hAnsi="仿宋_GB2312" w:eastAsia="仿宋_GB2312" w:cs="仿宋_GB2312"/>
                <w:sz w:val="20"/>
                <w:szCs w:val="20"/>
                <w:bdr w:val="none" w:color="auto" w:sz="0" w:space="0"/>
              </w:rPr>
              <w:t>0</w:t>
            </w:r>
          </w:p>
        </w:tc>
        <w:tc>
          <w:tcPr>
            <w:tcW w:w="534" w:type="dxa"/>
            <w:tcBorders>
              <w:top w:val="single" w:color="000000" w:sz="6" w:space="0"/>
              <w:left w:val="single" w:color="000000" w:sz="6" w:space="0"/>
              <w:bottom w:val="outset" w:color="auto" w:sz="6" w:space="0"/>
              <w:right w:val="single" w:color="000000" w:sz="6" w:space="0"/>
            </w:tcBorders>
            <w:shd w:val="clear"/>
            <w:vAlign w:val="top"/>
          </w:tcPr>
          <w:p w14:paraId="02B865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65" w:beforeAutospacing="0" w:after="0" w:afterAutospacing="0" w:line="560" w:lineRule="exact"/>
              <w:ind w:left="242" w:right="0"/>
              <w:rPr>
                <w:sz w:val="20"/>
                <w:szCs w:val="20"/>
              </w:rPr>
            </w:pPr>
            <w:r>
              <w:rPr>
                <w:rFonts w:ascii="仿宋_GB2312" w:hAnsi="仿宋_GB2312" w:eastAsia="仿宋_GB2312" w:cs="仿宋_GB2312"/>
                <w:sz w:val="20"/>
                <w:szCs w:val="20"/>
                <w:bdr w:val="none" w:color="auto" w:sz="0" w:space="0"/>
              </w:rPr>
              <w:t>0</w:t>
            </w:r>
          </w:p>
        </w:tc>
        <w:tc>
          <w:tcPr>
            <w:tcW w:w="589" w:type="dxa"/>
            <w:tcBorders>
              <w:top w:val="single" w:color="000000" w:sz="6" w:space="0"/>
              <w:left w:val="single" w:color="000000" w:sz="6" w:space="0"/>
              <w:bottom w:val="outset" w:color="auto" w:sz="6" w:space="0"/>
              <w:right w:val="single" w:color="000000" w:sz="6" w:space="0"/>
            </w:tcBorders>
            <w:shd w:val="clear"/>
            <w:vAlign w:val="top"/>
          </w:tcPr>
          <w:p w14:paraId="241EBC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65" w:beforeAutospacing="0" w:after="0" w:afterAutospacing="0" w:line="560" w:lineRule="exact"/>
              <w:ind w:left="242" w:right="0"/>
              <w:rPr>
                <w:sz w:val="20"/>
                <w:szCs w:val="20"/>
              </w:rPr>
            </w:pPr>
            <w:r>
              <w:rPr>
                <w:rFonts w:ascii="仿宋_GB2312" w:hAnsi="仿宋_GB2312" w:eastAsia="仿宋_GB2312" w:cs="仿宋_GB2312"/>
                <w:sz w:val="20"/>
                <w:szCs w:val="20"/>
                <w:bdr w:val="none" w:color="auto" w:sz="0" w:space="0"/>
              </w:rPr>
              <w:t>0</w:t>
            </w:r>
          </w:p>
        </w:tc>
        <w:tc>
          <w:tcPr>
            <w:tcW w:w="589" w:type="dxa"/>
            <w:tcBorders>
              <w:top w:val="single" w:color="000000" w:sz="6" w:space="0"/>
              <w:left w:val="single" w:color="000000" w:sz="6" w:space="0"/>
              <w:bottom w:val="outset" w:color="auto" w:sz="6" w:space="0"/>
              <w:right w:val="single" w:color="000000" w:sz="6" w:space="0"/>
            </w:tcBorders>
            <w:shd w:val="clear"/>
            <w:vAlign w:val="top"/>
          </w:tcPr>
          <w:p w14:paraId="3E1408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65" w:beforeAutospacing="0" w:after="0" w:afterAutospacing="0" w:line="560" w:lineRule="exact"/>
              <w:ind w:left="242" w:right="0"/>
              <w:rPr>
                <w:sz w:val="20"/>
                <w:szCs w:val="20"/>
              </w:rPr>
            </w:pPr>
            <w:r>
              <w:rPr>
                <w:rFonts w:ascii="仿宋_GB2312" w:hAnsi="仿宋_GB2312" w:eastAsia="仿宋_GB2312" w:cs="仿宋_GB2312"/>
                <w:sz w:val="20"/>
                <w:szCs w:val="20"/>
                <w:bdr w:val="none" w:color="auto" w:sz="0" w:space="0"/>
              </w:rPr>
              <w:t>0</w:t>
            </w:r>
          </w:p>
        </w:tc>
        <w:tc>
          <w:tcPr>
            <w:tcW w:w="589" w:type="dxa"/>
            <w:tcBorders>
              <w:top w:val="single" w:color="000000" w:sz="6" w:space="0"/>
              <w:left w:val="single" w:color="000000" w:sz="6" w:space="0"/>
              <w:bottom w:val="outset" w:color="auto" w:sz="6" w:space="0"/>
              <w:right w:val="single" w:color="000000" w:sz="6" w:space="0"/>
            </w:tcBorders>
            <w:shd w:val="clear"/>
            <w:vAlign w:val="top"/>
          </w:tcPr>
          <w:p w14:paraId="3E649A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65" w:beforeAutospacing="0" w:after="0" w:afterAutospacing="0" w:line="560" w:lineRule="exact"/>
              <w:ind w:left="242" w:right="0"/>
              <w:rPr>
                <w:sz w:val="20"/>
                <w:szCs w:val="20"/>
              </w:rPr>
            </w:pPr>
            <w:r>
              <w:rPr>
                <w:rFonts w:ascii="仿宋_GB2312" w:hAnsi="仿宋_GB2312" w:eastAsia="仿宋_GB2312" w:cs="仿宋_GB2312"/>
                <w:sz w:val="20"/>
                <w:szCs w:val="20"/>
                <w:bdr w:val="none" w:color="auto" w:sz="0" w:space="0"/>
              </w:rPr>
              <w:t>0</w:t>
            </w:r>
          </w:p>
        </w:tc>
        <w:tc>
          <w:tcPr>
            <w:tcW w:w="589" w:type="dxa"/>
            <w:tcBorders>
              <w:top w:val="single" w:color="000000" w:sz="6" w:space="0"/>
              <w:left w:val="single" w:color="000000" w:sz="6" w:space="0"/>
              <w:bottom w:val="outset" w:color="auto" w:sz="6" w:space="0"/>
              <w:right w:val="single" w:color="000000" w:sz="6" w:space="0"/>
            </w:tcBorders>
            <w:shd w:val="clear"/>
            <w:vAlign w:val="top"/>
          </w:tcPr>
          <w:p w14:paraId="18F7AA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65" w:beforeAutospacing="0" w:after="0" w:afterAutospacing="0" w:line="560" w:lineRule="exact"/>
              <w:ind w:left="242" w:right="0"/>
              <w:rPr>
                <w:sz w:val="20"/>
                <w:szCs w:val="20"/>
              </w:rPr>
            </w:pPr>
            <w:r>
              <w:rPr>
                <w:rFonts w:ascii="仿宋_GB2312" w:hAnsi="仿宋_GB2312" w:eastAsia="仿宋_GB2312" w:cs="仿宋_GB2312"/>
                <w:sz w:val="20"/>
                <w:szCs w:val="20"/>
                <w:bdr w:val="none" w:color="auto" w:sz="0" w:space="0"/>
              </w:rPr>
              <w:t>0</w:t>
            </w:r>
          </w:p>
        </w:tc>
        <w:tc>
          <w:tcPr>
            <w:tcW w:w="589" w:type="dxa"/>
            <w:tcBorders>
              <w:top w:val="single" w:color="000000" w:sz="6" w:space="0"/>
              <w:left w:val="single" w:color="000000" w:sz="6" w:space="0"/>
              <w:bottom w:val="outset" w:color="auto" w:sz="6" w:space="0"/>
              <w:right w:val="single" w:color="000000" w:sz="6" w:space="0"/>
            </w:tcBorders>
            <w:shd w:val="clear"/>
            <w:vAlign w:val="top"/>
          </w:tcPr>
          <w:p w14:paraId="0A08A1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65" w:beforeAutospacing="0" w:after="0" w:afterAutospacing="0" w:line="560" w:lineRule="exact"/>
              <w:ind w:left="242" w:right="0"/>
              <w:rPr>
                <w:sz w:val="20"/>
                <w:szCs w:val="20"/>
              </w:rPr>
            </w:pPr>
            <w:r>
              <w:rPr>
                <w:rFonts w:ascii="仿宋_GB2312" w:hAnsi="仿宋_GB2312" w:eastAsia="仿宋_GB2312" w:cs="仿宋_GB2312"/>
                <w:sz w:val="20"/>
                <w:szCs w:val="20"/>
                <w:bdr w:val="none" w:color="auto" w:sz="0" w:space="0"/>
              </w:rPr>
              <w:t>0</w:t>
            </w:r>
          </w:p>
        </w:tc>
        <w:tc>
          <w:tcPr>
            <w:tcW w:w="589" w:type="dxa"/>
            <w:tcBorders>
              <w:top w:val="single" w:color="000000" w:sz="6" w:space="0"/>
              <w:left w:val="single" w:color="000000" w:sz="6" w:space="0"/>
              <w:bottom w:val="outset" w:color="auto" w:sz="6" w:space="0"/>
              <w:right w:val="single" w:color="000000" w:sz="6" w:space="0"/>
            </w:tcBorders>
            <w:shd w:val="clear"/>
            <w:vAlign w:val="top"/>
          </w:tcPr>
          <w:p w14:paraId="1584D3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65" w:beforeAutospacing="0" w:after="0" w:afterAutospacing="0" w:line="560" w:lineRule="exact"/>
              <w:ind w:left="242" w:right="0"/>
              <w:rPr>
                <w:sz w:val="20"/>
                <w:szCs w:val="20"/>
              </w:rPr>
            </w:pPr>
            <w:r>
              <w:rPr>
                <w:rFonts w:ascii="仿宋_GB2312" w:hAnsi="仿宋_GB2312" w:eastAsia="仿宋_GB2312" w:cs="仿宋_GB2312"/>
                <w:sz w:val="20"/>
                <w:szCs w:val="20"/>
                <w:bdr w:val="none" w:color="auto" w:sz="0" w:space="0"/>
              </w:rPr>
              <w:t>0</w:t>
            </w:r>
          </w:p>
        </w:tc>
        <w:tc>
          <w:tcPr>
            <w:tcW w:w="589" w:type="dxa"/>
            <w:tcBorders>
              <w:top w:val="single" w:color="000000" w:sz="6" w:space="0"/>
              <w:left w:val="single" w:color="000000" w:sz="6" w:space="0"/>
              <w:bottom w:val="outset" w:color="auto" w:sz="6" w:space="0"/>
              <w:right w:val="single" w:color="000000" w:sz="6" w:space="0"/>
            </w:tcBorders>
            <w:shd w:val="clear"/>
            <w:vAlign w:val="top"/>
          </w:tcPr>
          <w:p w14:paraId="35A682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65" w:beforeAutospacing="0" w:after="0" w:afterAutospacing="0" w:line="560" w:lineRule="exact"/>
              <w:ind w:left="242" w:right="0"/>
              <w:rPr>
                <w:sz w:val="20"/>
                <w:szCs w:val="20"/>
              </w:rPr>
            </w:pPr>
            <w:r>
              <w:rPr>
                <w:rFonts w:ascii="仿宋_GB2312" w:hAnsi="仿宋_GB2312" w:eastAsia="仿宋_GB2312" w:cs="仿宋_GB2312"/>
                <w:sz w:val="20"/>
                <w:szCs w:val="20"/>
                <w:bdr w:val="none" w:color="auto" w:sz="0" w:space="0"/>
              </w:rPr>
              <w:t>0</w:t>
            </w:r>
          </w:p>
        </w:tc>
        <w:tc>
          <w:tcPr>
            <w:tcW w:w="590" w:type="dxa"/>
            <w:tcBorders>
              <w:top w:val="single" w:color="000000" w:sz="6" w:space="0"/>
              <w:left w:val="single" w:color="000000" w:sz="6" w:space="0"/>
              <w:bottom w:val="outset" w:color="auto" w:sz="6" w:space="0"/>
              <w:right w:val="single" w:color="000000" w:sz="6" w:space="0"/>
            </w:tcBorders>
            <w:shd w:val="clear"/>
            <w:vAlign w:val="top"/>
          </w:tcPr>
          <w:p w14:paraId="26CC79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65" w:beforeAutospacing="0" w:after="0" w:afterAutospacing="0" w:line="560" w:lineRule="exact"/>
              <w:ind w:left="242" w:right="0"/>
              <w:rPr>
                <w:sz w:val="20"/>
                <w:szCs w:val="20"/>
              </w:rPr>
            </w:pPr>
            <w:r>
              <w:rPr>
                <w:rFonts w:ascii="仿宋_GB2312" w:hAnsi="仿宋_GB2312" w:eastAsia="仿宋_GB2312" w:cs="仿宋_GB2312"/>
                <w:sz w:val="20"/>
                <w:szCs w:val="20"/>
                <w:bdr w:val="none" w:color="auto" w:sz="0" w:space="0"/>
              </w:rPr>
              <w:t>0</w:t>
            </w:r>
          </w:p>
        </w:tc>
        <w:tc>
          <w:tcPr>
            <w:tcW w:w="599" w:type="dxa"/>
            <w:tcBorders>
              <w:top w:val="single" w:color="000000" w:sz="6" w:space="0"/>
              <w:left w:val="single" w:color="000000" w:sz="6" w:space="0"/>
              <w:bottom w:val="outset" w:color="auto" w:sz="6" w:space="0"/>
              <w:right w:val="outset" w:color="auto" w:sz="6" w:space="0"/>
            </w:tcBorders>
            <w:shd w:val="clear"/>
            <w:vAlign w:val="top"/>
          </w:tcPr>
          <w:p w14:paraId="4F8B97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65" w:beforeAutospacing="0" w:after="0" w:afterAutospacing="0" w:line="560" w:lineRule="exact"/>
              <w:ind w:left="242" w:right="0"/>
              <w:rPr>
                <w:sz w:val="20"/>
                <w:szCs w:val="20"/>
              </w:rPr>
            </w:pPr>
            <w:r>
              <w:rPr>
                <w:rFonts w:ascii="仿宋_GB2312" w:hAnsi="仿宋_GB2312" w:eastAsia="仿宋_GB2312" w:cs="仿宋_GB2312"/>
                <w:sz w:val="20"/>
                <w:szCs w:val="20"/>
                <w:bdr w:val="none" w:color="auto" w:sz="0" w:space="0"/>
              </w:rPr>
              <w:t>0</w:t>
            </w:r>
          </w:p>
        </w:tc>
      </w:tr>
    </w:tbl>
    <w:p w14:paraId="2E975A44">
      <w:pPr>
        <w:pStyle w:val="3"/>
        <w:keepNext w:val="0"/>
        <w:keepLines w:val="0"/>
        <w:pageBreakBefore w:val="0"/>
        <w:widowControl/>
        <w:suppressLineNumbers w:val="0"/>
        <w:overflowPunct/>
        <w:topLinePunct w:val="0"/>
        <w:bidi w:val="0"/>
        <w:spacing w:before="0" w:beforeAutospacing="0" w:after="0" w:afterAutospacing="0" w:line="560" w:lineRule="exact"/>
      </w:pPr>
      <w:r>
        <w:rPr>
          <w:rFonts w:hint="default" w:ascii="sans-serif" w:hAnsi="sans-serif" w:eastAsia="sans-serif" w:cs="sans-serif"/>
          <w:i w:val="0"/>
          <w:iCs w:val="0"/>
          <w:caps w:val="0"/>
          <w:color w:val="000000"/>
          <w:spacing w:val="0"/>
          <w:sz w:val="27"/>
          <w:szCs w:val="27"/>
        </w:rPr>
        <w:t> </w:t>
      </w:r>
    </w:p>
    <w:p w14:paraId="17F50735">
      <w:pPr>
        <w:pStyle w:val="3"/>
        <w:keepNext w:val="0"/>
        <w:keepLines w:val="0"/>
        <w:pageBreakBefore w:val="0"/>
        <w:widowControl/>
        <w:suppressLineNumbers w:val="0"/>
        <w:overflowPunct/>
        <w:topLinePunct w:val="0"/>
        <w:bidi w:val="0"/>
        <w:spacing w:before="101" w:beforeAutospacing="0" w:after="0" w:afterAutospacing="0" w:line="560" w:lineRule="exact"/>
        <w:ind w:left="857"/>
        <w:rPr>
          <w:sz w:val="31"/>
          <w:szCs w:val="31"/>
        </w:rPr>
      </w:pPr>
      <w:r>
        <w:rPr>
          <w:rFonts w:hint="eastAsia" w:ascii="黑体" w:hAnsi="宋体" w:eastAsia="黑体" w:cs="黑体"/>
          <w:i w:val="0"/>
          <w:iCs w:val="0"/>
          <w:caps w:val="0"/>
          <w:color w:val="333333"/>
          <w:spacing w:val="-3"/>
          <w:sz w:val="31"/>
          <w:szCs w:val="31"/>
        </w:rPr>
        <w:t>五、存在的主要问题及改进情况</w:t>
      </w:r>
    </w:p>
    <w:p w14:paraId="046D4038">
      <w:pPr>
        <w:pStyle w:val="3"/>
        <w:keepNext w:val="0"/>
        <w:keepLines w:val="0"/>
        <w:pageBreakBefore w:val="0"/>
        <w:widowControl/>
        <w:suppressLineNumbers w:val="0"/>
        <w:overflowPunct/>
        <w:topLinePunct w:val="0"/>
        <w:bidi w:val="0"/>
        <w:spacing w:before="59" w:beforeAutospacing="0" w:after="0" w:afterAutospacing="0" w:line="560" w:lineRule="exact"/>
        <w:ind w:left="140" w:right="4" w:firstLine="623"/>
        <w:jc w:val="both"/>
        <w:rPr>
          <w:sz w:val="31"/>
          <w:szCs w:val="31"/>
        </w:rPr>
      </w:pPr>
      <w:r>
        <w:rPr>
          <w:rFonts w:hint="eastAsia" w:ascii="仿宋" w:hAnsi="仿宋" w:eastAsia="仿宋" w:cs="仿宋"/>
          <w:i w:val="0"/>
          <w:iCs w:val="0"/>
          <w:caps w:val="0"/>
          <w:color w:val="000000"/>
          <w:spacing w:val="2"/>
          <w:sz w:val="31"/>
          <w:szCs w:val="31"/>
        </w:rPr>
        <w:t>2024年，枣庄高新区消防救援大队信息公开工作取得一定成效，但对照新时代政务公开新要求，仍存在一些不足，主要表现在：主动公开深度有待进一步提升；信息公开政务公开标准化规范化建设水平有待进一步提高。2024年，将进一步做好以下工作：</w:t>
      </w:r>
    </w:p>
    <w:p w14:paraId="09C7D30D">
      <w:pPr>
        <w:pStyle w:val="3"/>
        <w:keepNext w:val="0"/>
        <w:keepLines w:val="0"/>
        <w:pageBreakBefore w:val="0"/>
        <w:widowControl/>
        <w:suppressLineNumbers w:val="0"/>
        <w:overflowPunct/>
        <w:topLinePunct w:val="0"/>
        <w:bidi w:val="0"/>
        <w:spacing w:before="59" w:beforeAutospacing="0" w:after="0" w:afterAutospacing="0" w:line="560" w:lineRule="exact"/>
        <w:ind w:left="140" w:right="4" w:firstLine="623"/>
        <w:jc w:val="both"/>
        <w:rPr>
          <w:sz w:val="31"/>
          <w:szCs w:val="31"/>
        </w:rPr>
      </w:pPr>
      <w:r>
        <w:rPr>
          <w:rFonts w:hint="eastAsia" w:ascii="仿宋" w:hAnsi="仿宋" w:eastAsia="仿宋" w:cs="仿宋"/>
          <w:i w:val="0"/>
          <w:iCs w:val="0"/>
          <w:caps w:val="0"/>
          <w:color w:val="000000"/>
          <w:spacing w:val="2"/>
          <w:sz w:val="31"/>
          <w:szCs w:val="31"/>
        </w:rPr>
        <w:t>一是加大主动公开力度，充分利用上城门户网站等新媒体平台，不断加大主动公开的信息量，切实保障公众的知情权、参与权和监督权。</w:t>
      </w:r>
    </w:p>
    <w:p w14:paraId="08B8F6FB">
      <w:pPr>
        <w:pStyle w:val="3"/>
        <w:keepNext w:val="0"/>
        <w:keepLines w:val="0"/>
        <w:pageBreakBefore w:val="0"/>
        <w:widowControl/>
        <w:suppressLineNumbers w:val="0"/>
        <w:overflowPunct/>
        <w:topLinePunct w:val="0"/>
        <w:bidi w:val="0"/>
        <w:spacing w:before="59" w:beforeAutospacing="0" w:after="0" w:afterAutospacing="0" w:line="560" w:lineRule="exact"/>
        <w:ind w:left="140" w:right="4" w:firstLine="623"/>
        <w:jc w:val="both"/>
        <w:rPr>
          <w:sz w:val="31"/>
          <w:szCs w:val="31"/>
        </w:rPr>
      </w:pPr>
      <w:r>
        <w:rPr>
          <w:rFonts w:hint="eastAsia" w:ascii="仿宋" w:hAnsi="仿宋" w:eastAsia="仿宋" w:cs="仿宋"/>
          <w:i w:val="0"/>
          <w:iCs w:val="0"/>
          <w:caps w:val="0"/>
          <w:color w:val="000000"/>
          <w:spacing w:val="2"/>
          <w:sz w:val="31"/>
          <w:szCs w:val="31"/>
        </w:rPr>
        <w:t>二是规范依申请公开工作。规范政府信息依申请公开工作程序，加大对依申请信息公开办理的督办力度，及时解决依申请公开办理过程中出现的问题，提升答复的准确性、规范性和合法性。</w:t>
      </w:r>
    </w:p>
    <w:p w14:paraId="3EE49AF3">
      <w:pPr>
        <w:pStyle w:val="3"/>
        <w:keepNext w:val="0"/>
        <w:keepLines w:val="0"/>
        <w:pageBreakBefore w:val="0"/>
        <w:widowControl/>
        <w:suppressLineNumbers w:val="0"/>
        <w:overflowPunct/>
        <w:topLinePunct w:val="0"/>
        <w:bidi w:val="0"/>
        <w:spacing w:before="59" w:beforeAutospacing="0" w:after="0" w:afterAutospacing="0" w:line="560" w:lineRule="exact"/>
        <w:ind w:left="140" w:right="4" w:firstLine="623"/>
        <w:jc w:val="both"/>
        <w:rPr>
          <w:sz w:val="31"/>
          <w:szCs w:val="31"/>
        </w:rPr>
      </w:pPr>
      <w:r>
        <w:rPr>
          <w:rFonts w:hint="eastAsia" w:ascii="仿宋" w:hAnsi="仿宋" w:eastAsia="仿宋" w:cs="仿宋"/>
          <w:i w:val="0"/>
          <w:iCs w:val="0"/>
          <w:caps w:val="0"/>
          <w:color w:val="000000"/>
          <w:spacing w:val="2"/>
          <w:sz w:val="31"/>
          <w:szCs w:val="31"/>
        </w:rPr>
        <w:t>三是提升信息公开能力。加强政府信息公开培训，努力提升工作人员素质，提高政府信息公开工作能力。</w:t>
      </w:r>
    </w:p>
    <w:p w14:paraId="5479D040">
      <w:pPr>
        <w:pStyle w:val="3"/>
        <w:keepNext w:val="0"/>
        <w:keepLines w:val="0"/>
        <w:pageBreakBefore w:val="0"/>
        <w:widowControl/>
        <w:suppressLineNumbers w:val="0"/>
        <w:overflowPunct/>
        <w:topLinePunct w:val="0"/>
        <w:bidi w:val="0"/>
        <w:spacing w:before="54" w:beforeAutospacing="0" w:after="0" w:afterAutospacing="0" w:line="560" w:lineRule="exact"/>
        <w:ind w:left="433"/>
        <w:rPr>
          <w:sz w:val="31"/>
          <w:szCs w:val="31"/>
        </w:rPr>
      </w:pPr>
      <w:r>
        <w:rPr>
          <w:rFonts w:hint="eastAsia" w:ascii="仿宋" w:hAnsi="仿宋" w:eastAsia="仿宋" w:cs="仿宋"/>
          <w:i w:val="0"/>
          <w:iCs w:val="0"/>
          <w:caps w:val="0"/>
          <w:color w:val="333333"/>
          <w:spacing w:val="-3"/>
          <w:sz w:val="31"/>
          <w:szCs w:val="31"/>
        </w:rPr>
        <w:t>六、其他需要报告的事项</w:t>
      </w:r>
    </w:p>
    <w:p w14:paraId="328046B9">
      <w:pPr>
        <w:pStyle w:val="3"/>
        <w:keepNext w:val="0"/>
        <w:keepLines w:val="0"/>
        <w:pageBreakBefore w:val="0"/>
        <w:widowControl/>
        <w:suppressLineNumbers w:val="0"/>
        <w:overflowPunct/>
        <w:topLinePunct w:val="0"/>
        <w:bidi w:val="0"/>
        <w:spacing w:before="59" w:beforeAutospacing="0" w:after="0" w:afterAutospacing="0" w:line="560" w:lineRule="exact"/>
        <w:ind w:left="140" w:right="4" w:firstLine="623"/>
        <w:jc w:val="both"/>
        <w:rPr>
          <w:sz w:val="31"/>
          <w:szCs w:val="31"/>
        </w:rPr>
      </w:pPr>
      <w:r>
        <w:rPr>
          <w:rFonts w:hint="eastAsia" w:ascii="仿宋" w:hAnsi="仿宋" w:eastAsia="仿宋" w:cs="仿宋"/>
          <w:i w:val="0"/>
          <w:iCs w:val="0"/>
          <w:caps w:val="0"/>
          <w:color w:val="000000"/>
          <w:spacing w:val="2"/>
          <w:sz w:val="31"/>
          <w:szCs w:val="31"/>
        </w:rPr>
        <w:t>（一）2024年，按照《国务院办公厅关于印发〈政府信息公开信息处理费管理办法〉的通知》（国办函〔2020〕109号）规定的按件、按量收费标准，本年度没有产生信息公开处理费。</w:t>
      </w:r>
    </w:p>
    <w:p w14:paraId="6ABED2E4">
      <w:pPr>
        <w:pStyle w:val="3"/>
        <w:keepNext w:val="0"/>
        <w:keepLines w:val="0"/>
        <w:pageBreakBefore w:val="0"/>
        <w:widowControl/>
        <w:suppressLineNumbers w:val="0"/>
        <w:overflowPunct/>
        <w:topLinePunct w:val="0"/>
        <w:bidi w:val="0"/>
        <w:spacing w:before="59" w:beforeAutospacing="0" w:after="0" w:afterAutospacing="0" w:line="560" w:lineRule="exact"/>
        <w:ind w:left="140" w:right="4" w:firstLine="623"/>
        <w:jc w:val="both"/>
        <w:rPr>
          <w:sz w:val="31"/>
          <w:szCs w:val="31"/>
        </w:rPr>
      </w:pPr>
      <w:r>
        <w:rPr>
          <w:rFonts w:hint="eastAsia" w:ascii="仿宋" w:hAnsi="仿宋" w:eastAsia="仿宋" w:cs="仿宋"/>
          <w:i w:val="0"/>
          <w:iCs w:val="0"/>
          <w:caps w:val="0"/>
          <w:color w:val="000000"/>
          <w:spacing w:val="2"/>
          <w:sz w:val="31"/>
          <w:szCs w:val="31"/>
        </w:rPr>
        <w:t>(二)落实上级政务公开重点工作情况。根据《2024年山东省政务公开效能监测实施方案》要求，主动公开、依申请公开、解读回应、公众参与、 监督保障等纳入日常监管范围，推进政务公开工作常态化开展，确保责任公开事项落实到位。</w:t>
      </w:r>
    </w:p>
    <w:p w14:paraId="2429D025">
      <w:pPr>
        <w:pStyle w:val="3"/>
        <w:keepNext w:val="0"/>
        <w:keepLines w:val="0"/>
        <w:pageBreakBefore w:val="0"/>
        <w:widowControl/>
        <w:suppressLineNumbers w:val="0"/>
        <w:overflowPunct/>
        <w:topLinePunct w:val="0"/>
        <w:bidi w:val="0"/>
        <w:spacing w:before="59" w:beforeAutospacing="0" w:after="0" w:afterAutospacing="0" w:line="560" w:lineRule="exact"/>
        <w:ind w:left="140" w:right="4" w:firstLine="623"/>
        <w:jc w:val="both"/>
        <w:rPr>
          <w:sz w:val="31"/>
          <w:szCs w:val="31"/>
        </w:rPr>
      </w:pPr>
      <w:r>
        <w:rPr>
          <w:rFonts w:hint="eastAsia" w:ascii="仿宋" w:hAnsi="仿宋" w:eastAsia="仿宋" w:cs="仿宋"/>
          <w:i w:val="0"/>
          <w:iCs w:val="0"/>
          <w:caps w:val="0"/>
          <w:color w:val="000000"/>
          <w:spacing w:val="2"/>
          <w:sz w:val="31"/>
          <w:szCs w:val="31"/>
        </w:rPr>
        <w:t>(三)2024年全年接到市人大常委会交办的人大代表建议办理工作0件，收到市政协十一届三次会议提案0件。 </w:t>
      </w:r>
    </w:p>
    <w:p w14:paraId="681AF1FD">
      <w:pPr>
        <w:pStyle w:val="3"/>
        <w:keepNext w:val="0"/>
        <w:keepLines w:val="0"/>
        <w:pageBreakBefore w:val="0"/>
        <w:widowControl/>
        <w:suppressLineNumbers w:val="0"/>
        <w:overflowPunct/>
        <w:topLinePunct w:val="0"/>
        <w:bidi w:val="0"/>
        <w:spacing w:before="59" w:beforeAutospacing="0" w:after="0" w:afterAutospacing="0" w:line="560" w:lineRule="exact"/>
        <w:ind w:left="140" w:right="4" w:firstLine="623"/>
        <w:jc w:val="both"/>
        <w:rPr>
          <w:sz w:val="31"/>
          <w:szCs w:val="31"/>
        </w:rPr>
      </w:pPr>
      <w:r>
        <w:rPr>
          <w:rFonts w:hint="eastAsia" w:ascii="仿宋" w:hAnsi="仿宋" w:eastAsia="仿宋" w:cs="仿宋"/>
          <w:i w:val="0"/>
          <w:iCs w:val="0"/>
          <w:caps w:val="0"/>
          <w:color w:val="000000"/>
          <w:spacing w:val="2"/>
          <w:sz w:val="31"/>
          <w:szCs w:val="31"/>
        </w:rPr>
        <w:t>(四)本行政机关年度政务公开工作创新情况。充分利用网络媒体、微信群、公众号等宣传阵地，围绕社会热点、 群众关心关注的问题进行公开，进一步密切政府与企业和群众的沟通联系。 </w:t>
      </w:r>
    </w:p>
    <w:p w14:paraId="4BE74A7D">
      <w:pPr>
        <w:pStyle w:val="3"/>
        <w:keepNext w:val="0"/>
        <w:keepLines w:val="0"/>
        <w:pageBreakBefore w:val="0"/>
        <w:widowControl/>
        <w:suppressLineNumbers w:val="0"/>
        <w:overflowPunct/>
        <w:topLinePunct w:val="0"/>
        <w:bidi w:val="0"/>
        <w:spacing w:before="59" w:beforeAutospacing="0" w:after="0" w:afterAutospacing="0" w:line="560" w:lineRule="exact"/>
        <w:ind w:left="140" w:right="4" w:firstLine="623"/>
        <w:jc w:val="both"/>
        <w:rPr>
          <w:sz w:val="31"/>
          <w:szCs w:val="31"/>
        </w:rPr>
      </w:pPr>
      <w:r>
        <w:rPr>
          <w:rFonts w:hint="eastAsia" w:ascii="仿宋" w:hAnsi="仿宋" w:eastAsia="仿宋" w:cs="仿宋"/>
          <w:i w:val="0"/>
          <w:iCs w:val="0"/>
          <w:caps w:val="0"/>
          <w:color w:val="000000"/>
          <w:spacing w:val="2"/>
          <w:sz w:val="31"/>
          <w:szCs w:val="31"/>
        </w:rPr>
        <w:t>(五)本行政机关政府信息公开工作年度报告数据统计 需要说明的事项。本报告中所列数据的统计时限为2024年1月1日至2024年12月31日。 </w:t>
      </w:r>
    </w:p>
    <w:p w14:paraId="36FB03D5">
      <w:pPr>
        <w:pStyle w:val="3"/>
        <w:keepNext w:val="0"/>
        <w:keepLines w:val="0"/>
        <w:pageBreakBefore w:val="0"/>
        <w:widowControl/>
        <w:suppressLineNumbers w:val="0"/>
        <w:overflowPunct/>
        <w:topLinePunct w:val="0"/>
        <w:bidi w:val="0"/>
        <w:spacing w:before="59" w:beforeAutospacing="0" w:after="0" w:afterAutospacing="0" w:line="560" w:lineRule="exact"/>
        <w:ind w:left="140" w:right="4" w:firstLine="623"/>
        <w:jc w:val="both"/>
        <w:rPr>
          <w:sz w:val="31"/>
          <w:szCs w:val="31"/>
        </w:rPr>
      </w:pPr>
      <w:r>
        <w:rPr>
          <w:rFonts w:hint="eastAsia" w:ascii="仿宋" w:hAnsi="仿宋" w:eastAsia="仿宋" w:cs="仿宋"/>
          <w:i w:val="0"/>
          <w:iCs w:val="0"/>
          <w:caps w:val="0"/>
          <w:color w:val="000000"/>
          <w:spacing w:val="2"/>
          <w:sz w:val="31"/>
          <w:szCs w:val="31"/>
        </w:rPr>
        <w:t>(六)本行政机关认为需要报告的其他事项：无。</w:t>
      </w:r>
    </w:p>
    <w:p w14:paraId="109D9A49">
      <w:pPr>
        <w:pStyle w:val="3"/>
        <w:keepNext w:val="0"/>
        <w:keepLines w:val="0"/>
        <w:pageBreakBefore w:val="0"/>
        <w:widowControl/>
        <w:suppressLineNumbers w:val="0"/>
        <w:overflowPunct/>
        <w:topLinePunct w:val="0"/>
        <w:bidi w:val="0"/>
        <w:spacing w:before="59" w:beforeAutospacing="0" w:after="0" w:afterAutospacing="0" w:line="560" w:lineRule="exact"/>
        <w:ind w:left="140" w:right="4" w:firstLine="623"/>
        <w:jc w:val="both"/>
        <w:rPr>
          <w:sz w:val="31"/>
          <w:szCs w:val="31"/>
        </w:rPr>
      </w:pPr>
      <w:bookmarkStart w:id="9" w:name="_GoBack"/>
      <w:bookmarkEnd w:id="9"/>
      <w:r>
        <w:rPr>
          <w:rFonts w:hint="eastAsia" w:ascii="仿宋" w:hAnsi="仿宋" w:eastAsia="仿宋" w:cs="仿宋"/>
          <w:i w:val="0"/>
          <w:iCs w:val="0"/>
          <w:caps w:val="0"/>
          <w:color w:val="000000"/>
          <w:spacing w:val="2"/>
          <w:sz w:val="31"/>
          <w:szCs w:val="31"/>
        </w:rPr>
        <w:t>(七)其他有关文件专门要求通过政府信息公开工作年度报告予以报告的事项：无。</w:t>
      </w:r>
    </w:p>
    <w:p w14:paraId="3BB5428E">
      <w:pPr>
        <w:pStyle w:val="2"/>
        <w:keepNext w:val="0"/>
        <w:keepLines w:val="0"/>
        <w:pageBreakBefore w:val="0"/>
        <w:widowControl/>
        <w:overflowPunct/>
        <w:topLinePunct w:val="0"/>
        <w:bidi w:val="0"/>
        <w:spacing w:before="59" w:afterAutospacing="0" w:line="560" w:lineRule="exact"/>
        <w:ind w:left="140" w:right="4" w:firstLine="623"/>
        <w:jc w:val="both"/>
        <w:rPr>
          <w:rFonts w:hint="eastAsia"/>
          <w:spacing w:val="2"/>
        </w:rPr>
      </w:pPr>
    </w:p>
    <w:sectPr>
      <w:footerReference r:id="rId5" w:type="default"/>
      <w:pgSz w:w="11906" w:h="16839"/>
      <w:pgMar w:top="1431" w:right="1564" w:bottom="1826" w:left="1597" w:header="0" w:footer="155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FangSong_GB2312">
    <w:altName w:val="仿宋_GB2312"/>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KaiTi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B4D37">
    <w:pPr>
      <w:spacing w:line="172" w:lineRule="auto"/>
      <w:ind w:right="15"/>
      <w:jc w:val="right"/>
      <w:rPr>
        <w:rFonts w:ascii="宋体" w:hAnsi="宋体" w:eastAsia="宋体" w:cs="宋体"/>
        <w:sz w:val="28"/>
        <w:szCs w:val="28"/>
      </w:rPr>
    </w:pPr>
    <w:r>
      <w:rPr>
        <w:rFonts w:ascii="宋体" w:hAnsi="宋体" w:eastAsia="宋体" w:cs="宋体"/>
        <w:spacing w:val="-15"/>
        <w:sz w:val="28"/>
        <w:szCs w:val="28"/>
      </w:rPr>
      <w:t>—</w:t>
    </w:r>
    <w:r>
      <w:rPr>
        <w:rFonts w:ascii="宋体" w:hAnsi="宋体" w:eastAsia="宋体" w:cs="宋体"/>
        <w:spacing w:val="-56"/>
        <w:sz w:val="28"/>
        <w:szCs w:val="28"/>
      </w:rPr>
      <w:t xml:space="preserve"> </w:t>
    </w:r>
    <w:r>
      <w:rPr>
        <w:rFonts w:ascii="宋体" w:hAnsi="宋体" w:eastAsia="宋体" w:cs="宋体"/>
        <w:spacing w:val="-15"/>
        <w:sz w:val="28"/>
        <w:szCs w:val="28"/>
      </w:rPr>
      <w:t>2</w:t>
    </w:r>
    <w:r>
      <w:rPr>
        <w:rFonts w:ascii="宋体" w:hAnsi="宋体" w:eastAsia="宋体" w:cs="宋体"/>
        <w:spacing w:val="26"/>
        <w:sz w:val="28"/>
        <w:szCs w:val="28"/>
      </w:rPr>
      <w:t xml:space="preserve"> </w:t>
    </w:r>
    <w:r>
      <w:rPr>
        <w:rFonts w:ascii="宋体" w:hAnsi="宋体" w:eastAsia="宋体" w:cs="宋体"/>
        <w:spacing w:val="-15"/>
        <w:sz w:val="28"/>
        <w:szCs w:val="28"/>
      </w:rPr>
      <w:t>3</w:t>
    </w:r>
    <w:r>
      <w:rPr>
        <w:rFonts w:ascii="宋体" w:hAnsi="宋体" w:eastAsia="宋体" w:cs="宋体"/>
        <w:spacing w:val="-51"/>
        <w:sz w:val="28"/>
        <w:szCs w:val="28"/>
      </w:rPr>
      <w:t xml:space="preserve"> </w:t>
    </w:r>
    <w:r>
      <w:rPr>
        <w:rFonts w:ascii="宋体" w:hAnsi="宋体" w:eastAsia="宋体" w:cs="宋体"/>
        <w:spacing w:val="-15"/>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31E3CE3"/>
    <w:rsid w:val="06E4782C"/>
    <w:rsid w:val="106A4988"/>
    <w:rsid w:val="265D5995"/>
    <w:rsid w:val="567C6706"/>
    <w:rsid w:val="6FAE3E67"/>
    <w:rsid w:val="76350D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FangSong_GB2312" w:hAnsi="FangSong_GB2312" w:eastAsia="FangSong_GB2312" w:cs="FangSong_GB2312"/>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2484</Words>
  <Characters>2604</Characters>
  <TotalTime>13</TotalTime>
  <ScaleCrop>false</ScaleCrop>
  <LinksUpToDate>false</LinksUpToDate>
  <CharactersWithSpaces>2647</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2025-01-14T02:53:00Z</dcterms:created>
  <dc:creator>Administrator</dc:creator>
  <cp:lastModifiedBy>小池塘2条鱼</cp:lastModifiedBy>
  <dcterms:modified xsi:type="dcterms:W3CDTF">2025-01-24T02:19:49Z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2025-01-14T10:53:54Z</vt:filetime>
  </property>
  <property fmtid="{D5CDD505-2E9C-101B-9397-08002B2CF9AE}" pid="4" name="KSOTemplateDocerSaveRecord">
    <vt:lpwstr>eyJoZGlkIjoiYzhlMzIxY2I1MjBiZTZmY2E0OGMzMTM5NzM0NDlhMDIiLCJ1c2VySWQiOiIzMTQ5NTA2OTMifQ==</vt:lpwstr>
  </property>
  <property fmtid="{D5CDD505-2E9C-101B-9397-08002B2CF9AE}" pid="5" name="KSOProductBuildVer">
    <vt:lpwstr>2052-12.1.0.19770</vt:lpwstr>
  </property>
  <property fmtid="{D5CDD505-2E9C-101B-9397-08002B2CF9AE}" pid="6" name="ICV">
    <vt:lpwstr>AC07534B01404461AFC21DD31275A3DC_13</vt:lpwstr>
  </property>
</Properties>
</file>