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3EEA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pacing w:val="1"/>
          <w:w w:val="86"/>
          <w:kern w:val="0"/>
          <w:sz w:val="44"/>
          <w:szCs w:val="44"/>
          <w:fitText w:val="8360" w:id="621101223"/>
        </w:rPr>
        <w:t>枣庄高新新材料和高端装备产业招商服务有限公</w:t>
      </w:r>
      <w:r>
        <w:rPr>
          <w:rFonts w:hint="eastAsia" w:ascii="Times New Roman" w:hAnsi="Times New Roman" w:eastAsia="方正小标宋简体" w:cs="Times New Roman"/>
          <w:spacing w:val="0"/>
          <w:w w:val="86"/>
          <w:kern w:val="0"/>
          <w:sz w:val="44"/>
          <w:szCs w:val="44"/>
          <w:fitText w:val="8360" w:id="621101223"/>
        </w:rPr>
        <w:t>司</w:t>
      </w:r>
    </w:p>
    <w:p w14:paraId="236D12FD">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2024年政府信息公开工作年度报告</w:t>
      </w:r>
    </w:p>
    <w:p w14:paraId="70D9FEE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方正小标宋简体" w:cs="Times New Roman"/>
          <w:sz w:val="32"/>
          <w:szCs w:val="32"/>
        </w:rPr>
      </w:pPr>
    </w:p>
    <w:p w14:paraId="35C975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本报告根据《中华人民共和国政府信息公开条例》《中华</w:t>
      </w:r>
      <w:r>
        <w:rPr>
          <w:rFonts w:hint="default" w:ascii="仿宋_GB2312" w:hAnsi="仿宋_GB2312" w:eastAsia="仿宋_GB2312" w:cs="仿宋_GB2312"/>
          <w:sz w:val="32"/>
          <w:szCs w:val="32"/>
        </w:rPr>
        <w:t>人民共和国政府信息公开工作年度报告格式》的通知（国办公开办函〔2021〕30号）和省、市、区有关工作要求，由枣庄高新新材料和高端装备产业招商服务有限公司编制。全文包括2024年政府信息公开工作要点落实情况，主动公开政府信息情况，回应解读情况，依申请公开情况，政府信息公开行政复议、行政诉讼和投诉情况，存在的主要问题及改进措施等。本报告所列数据的统计时限自2024年1月1日至2024年12月31日。本报告全文将在枣庄高新区官网（http://www.zzctp.gov.cn/）“政府信息公开年度报告”专栏公布。如对本报告有疑问，请与枣庄高新新材料和高端装备产业招商服务有限公司综合部联系（联系电话:0632-8675167，电子邮箱:zzgxqcyzq@163.com）。</w:t>
      </w:r>
    </w:p>
    <w:p w14:paraId="5422F7B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14:paraId="355D858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年，枣庄高新新材料和高端装备产业招商服务有限公司坚持以习近平新时代中国特色社会主义思想为指导，全面贯彻落实党的</w:t>
      </w:r>
      <w:r>
        <w:rPr>
          <w:rFonts w:hint="eastAsia" w:ascii="仿宋_GB2312" w:hAnsi="仿宋_GB2312" w:eastAsia="仿宋_GB2312" w:cs="仿宋_GB2312"/>
          <w:sz w:val="32"/>
          <w:szCs w:val="32"/>
          <w:lang w:val="en-US" w:eastAsia="zh-CN"/>
        </w:rPr>
        <w:t>二十大、二十届三中全会等</w:t>
      </w:r>
      <w:r>
        <w:rPr>
          <w:rFonts w:hint="eastAsia" w:ascii="仿宋_GB2312" w:hAnsi="仿宋_GB2312" w:eastAsia="仿宋_GB2312" w:cs="仿宋_GB2312"/>
          <w:sz w:val="32"/>
          <w:szCs w:val="32"/>
        </w:rPr>
        <w:t>精神，不断健全完善政务公开工作制度，持续加大公开力度、拓展公开深度、提高公开精度，助力各项工作高质量发展。现将我单位202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年度政府信息公开工作情况报告如下：</w:t>
      </w:r>
    </w:p>
    <w:p w14:paraId="7776FB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1.主动公开方面</w:t>
      </w:r>
    </w:p>
    <w:p w14:paraId="270005B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59264" behindDoc="0" locked="0" layoutInCell="1" allowOverlap="1">
            <wp:simplePos x="0" y="0"/>
            <wp:positionH relativeFrom="column">
              <wp:posOffset>190500</wp:posOffset>
            </wp:positionH>
            <wp:positionV relativeFrom="paragraph">
              <wp:posOffset>1875790</wp:posOffset>
            </wp:positionV>
            <wp:extent cx="4800600" cy="2686050"/>
            <wp:effectExtent l="0" t="0" r="0" b="0"/>
            <wp:wrapTopAndBottom/>
            <wp:docPr id="1" name="图片 1" descr="f6eea8587a8f30169d8b3a8dddbd2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6eea8587a8f30169d8b3a8dddbd24f"/>
                    <pic:cNvPicPr>
                      <a:picLocks noChangeAspect="1"/>
                    </pic:cNvPicPr>
                  </pic:nvPicPr>
                  <pic:blipFill>
                    <a:blip r:embed="rId4"/>
                    <a:stretch>
                      <a:fillRect/>
                    </a:stretch>
                  </pic:blipFill>
                  <pic:spPr>
                    <a:xfrm>
                      <a:off x="0" y="0"/>
                      <a:ext cx="4800600" cy="2686050"/>
                    </a:xfrm>
                    <a:prstGeom prst="rect">
                      <a:avLst/>
                    </a:prstGeom>
                  </pic:spPr>
                </pic:pic>
              </a:graphicData>
            </a:graphic>
          </wp:anchor>
        </w:drawing>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枣庄高新新材料和高端装备产业招商服务有限公司主动公开政府信息</w:t>
      </w:r>
      <w:r>
        <w:rPr>
          <w:rFonts w:hint="eastAsia" w:ascii="仿宋_GB2312" w:hAnsi="仿宋_GB2312" w:eastAsia="仿宋_GB2312" w:cs="仿宋_GB2312"/>
          <w:sz w:val="32"/>
          <w:szCs w:val="32"/>
          <w:lang w:val="en-US" w:eastAsia="zh-CN"/>
        </w:rPr>
        <w:t>104</w:t>
      </w:r>
      <w:r>
        <w:rPr>
          <w:rFonts w:hint="eastAsia" w:ascii="仿宋_GB2312" w:hAnsi="仿宋_GB2312" w:eastAsia="仿宋_GB2312" w:cs="仿宋_GB2312"/>
          <w:sz w:val="32"/>
          <w:szCs w:val="32"/>
        </w:rPr>
        <w:t>篇。其中部门信息</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篇、信息公开指南1篇、政府信息公开目录</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篇、办事指南1篇、产业发展概况</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篇、主导产业-锂电产业</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篇、重点项目</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篇、招商引资--投资环境</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篇。</w:t>
      </w:r>
      <w:bookmarkStart w:id="10" w:name="_GoBack"/>
      <w:bookmarkEnd w:id="10"/>
    </w:p>
    <w:p w14:paraId="244ABA0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2.依申请公开工作方面</w:t>
      </w:r>
    </w:p>
    <w:p w14:paraId="6177FF9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1、收到和处理政府信息公开申请情况：</w:t>
      </w:r>
    </w:p>
    <w:p w14:paraId="4CF04F7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2024年收到申请数0件，与2023年对比无变化。</w:t>
      </w:r>
    </w:p>
    <w:p w14:paraId="50D89EF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新材料公司认真执行《中华人民共和国政府信息公开条例》，推进重点项目建设、招商引资、产业发展等重点领域的政务信息公开，主动接受社会监督，推动政务公开、政务服务深度融合，更好回应社会关切、服务中心大局，为推动辖区企业经济高质量发展，营造良好的园区与社会公众关系注入强劲动能。</w:t>
      </w:r>
    </w:p>
    <w:p w14:paraId="39C7264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59E0466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2、政府信息公开行政复议、行政诉讼情况：</w:t>
      </w:r>
    </w:p>
    <w:p w14:paraId="4B3CD65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2024年，因政府信息公开被申请行政复议0件，因公民、法人和其他组织认为行政机关政府信息公开工作具体行政行为侵犯其合法权益，提起行政诉讼0件。</w:t>
      </w:r>
    </w:p>
    <w:p w14:paraId="5C75AB8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3.政府信息管理方面</w:t>
      </w:r>
    </w:p>
    <w:p w14:paraId="4B1BCDD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FF0000"/>
          <w:kern w:val="0"/>
          <w:sz w:val="32"/>
          <w:szCs w:val="32"/>
          <w:lang w:val="en-US" w:eastAsia="zh-CN" w:bidi="ar"/>
        </w:rPr>
      </w:pPr>
      <w:r>
        <w:rPr>
          <w:rFonts w:hint="eastAsia" w:ascii="仿宋_GB2312" w:hAnsi="仿宋_GB2312" w:eastAsia="仿宋_GB2312" w:cs="仿宋_GB2312"/>
          <w:sz w:val="32"/>
          <w:szCs w:val="32"/>
        </w:rPr>
        <w:t>对照《政府信息公开条例》要求，完善信息公开工作流程，安排专人专岗负责政务信息审核、发布、更新、管理工作，保障公开信息的准确性。</w:t>
      </w:r>
      <w:r>
        <w:rPr>
          <w:rFonts w:hint="eastAsia" w:ascii="仿宋_GB2312" w:hAnsi="仿宋_GB2312" w:eastAsia="仿宋_GB2312" w:cs="仿宋_GB2312"/>
          <w:sz w:val="32"/>
          <w:szCs w:val="32"/>
          <w:lang w:val="en-US" w:eastAsia="zh-CN"/>
        </w:rPr>
        <w:t>新材料公司</w:t>
      </w:r>
      <w:r>
        <w:rPr>
          <w:rFonts w:hint="eastAsia" w:ascii="仿宋_GB2312" w:hAnsi="仿宋_GB2312" w:eastAsia="仿宋_GB2312" w:cs="仿宋_GB2312"/>
          <w:sz w:val="32"/>
          <w:szCs w:val="32"/>
        </w:rPr>
        <w:t>综合管理部是信息公开工作的主管部门，负责推进、指导、协调、监督单位信息公开工作。配备专职人员1人，每月按照要求报送政务公开信息材料。</w:t>
      </w:r>
    </w:p>
    <w:p w14:paraId="0726784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4.平台建设方面</w:t>
      </w:r>
    </w:p>
    <w:p w14:paraId="3D7FBDE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sz w:val="32"/>
          <w:szCs w:val="32"/>
        </w:rPr>
      </w:pPr>
      <w:r>
        <w:rPr>
          <w:rFonts w:hint="eastAsia" w:ascii="仿宋_GB2312" w:hAnsi="仿宋_GB2312" w:eastAsia="仿宋_GB2312" w:cs="仿宋_GB2312"/>
          <w:sz w:val="32"/>
          <w:szCs w:val="32"/>
        </w:rPr>
        <w:t>枣庄高新新材料和高端装备产业招商服务有限公司依托区管委会政府公开网站，严格按照信息公开要求，统一进行年报、公开指南、规划计划等法定公开内容的上传及管理，设立通知公告、部门信息、政民互动、产业发展、招商引资等栏目。</w:t>
      </w:r>
    </w:p>
    <w:p w14:paraId="61B43E7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5.监督保障方面</w:t>
      </w:r>
    </w:p>
    <w:p w14:paraId="1D56C1A1">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rPr>
        <w:t>印制下发《关于成立枣庄高新新材料和高端装备产业招商服务有限公司政务公开工作领导小组的通知》，下设办公室，严格实行领导责任制和目标管理责任制。全面加强政务公开工作培训，制定年度政务公开工作培训计划，并严格按计划进行业务培训，全面提升政务公开人员的业务能力和专业水平。</w:t>
      </w:r>
    </w:p>
    <w:p w14:paraId="289FB3A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60" w:type="dxa"/>
          <w:left w:w="120" w:type="dxa"/>
          <w:bottom w:w="60" w:type="dxa"/>
          <w:right w:w="120" w:type="dxa"/>
        </w:tblCellMar>
      </w:tblPr>
      <w:tblGrid>
        <w:gridCol w:w="2364"/>
        <w:gridCol w:w="1661"/>
        <w:gridCol w:w="1661"/>
        <w:gridCol w:w="1661"/>
      </w:tblGrid>
      <w:tr w14:paraId="5619F1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57" w:hRule="atLeast"/>
          <w:jc w:val="center"/>
        </w:trPr>
        <w:tc>
          <w:tcPr>
            <w:tcW w:w="7347" w:type="dxa"/>
            <w:gridSpan w:val="4"/>
            <w:tcBorders>
              <w:top w:val="outset" w:color="auto" w:sz="4" w:space="0"/>
              <w:left w:val="outset" w:color="auto" w:sz="4" w:space="0"/>
              <w:bottom w:val="outset" w:color="auto" w:sz="4" w:space="0"/>
              <w:right w:val="outset" w:color="auto" w:sz="4" w:space="0"/>
            </w:tcBorders>
            <w:shd w:val="clear" w:color="auto" w:fill="auto"/>
            <w:tcMar>
              <w:left w:w="60" w:type="dxa"/>
              <w:right w:w="60" w:type="dxa"/>
            </w:tcMar>
            <w:vAlign w:val="center"/>
          </w:tcPr>
          <w:p w14:paraId="3FAE4F1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第二十条第（一）项</w:t>
            </w:r>
          </w:p>
        </w:tc>
      </w:tr>
      <w:tr w14:paraId="0A7CFB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57" w:hRule="atLeast"/>
          <w:jc w:val="center"/>
        </w:trPr>
        <w:tc>
          <w:tcPr>
            <w:tcW w:w="2364" w:type="dxa"/>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6DDEBA4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信息内容</w:t>
            </w:r>
          </w:p>
        </w:tc>
        <w:tc>
          <w:tcPr>
            <w:tcW w:w="1661" w:type="dxa"/>
            <w:tcBorders>
              <w:top w:val="outset" w:color="auto" w:sz="4" w:space="0"/>
              <w:left w:val="nil"/>
              <w:bottom w:val="outset" w:color="auto" w:sz="4" w:space="0"/>
              <w:right w:val="outset" w:color="auto" w:sz="4" w:space="0"/>
            </w:tcBorders>
            <w:shd w:val="clear" w:color="auto" w:fill="auto"/>
            <w:tcMar>
              <w:left w:w="60" w:type="dxa"/>
              <w:right w:w="60" w:type="dxa"/>
            </w:tcMar>
            <w:vAlign w:val="center"/>
          </w:tcPr>
          <w:p w14:paraId="04F82B5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本年制发件数</w:t>
            </w:r>
          </w:p>
        </w:tc>
        <w:tc>
          <w:tcPr>
            <w:tcW w:w="1661" w:type="dxa"/>
            <w:tcBorders>
              <w:top w:val="outset" w:color="auto" w:sz="4" w:space="0"/>
              <w:left w:val="nil"/>
              <w:bottom w:val="outset" w:color="auto" w:sz="4" w:space="0"/>
              <w:right w:val="outset" w:color="auto" w:sz="4" w:space="0"/>
            </w:tcBorders>
            <w:shd w:val="clear" w:color="auto" w:fill="auto"/>
            <w:tcMar>
              <w:left w:w="60" w:type="dxa"/>
              <w:right w:w="60" w:type="dxa"/>
            </w:tcMar>
            <w:vAlign w:val="center"/>
          </w:tcPr>
          <w:p w14:paraId="67EAFE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本年废止件数</w:t>
            </w:r>
          </w:p>
        </w:tc>
        <w:tc>
          <w:tcPr>
            <w:tcW w:w="1661" w:type="dxa"/>
            <w:tcBorders>
              <w:top w:val="outset" w:color="auto" w:sz="4" w:space="0"/>
              <w:left w:val="nil"/>
              <w:bottom w:val="outset" w:color="auto" w:sz="4" w:space="0"/>
              <w:right w:val="outset" w:color="auto" w:sz="4" w:space="0"/>
            </w:tcBorders>
            <w:shd w:val="clear" w:color="auto" w:fill="auto"/>
            <w:tcMar>
              <w:left w:w="60" w:type="dxa"/>
              <w:right w:w="60" w:type="dxa"/>
            </w:tcMar>
            <w:vAlign w:val="center"/>
          </w:tcPr>
          <w:p w14:paraId="0C27262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现行有效件数</w:t>
            </w:r>
          </w:p>
        </w:tc>
      </w:tr>
      <w:tr w14:paraId="31EE6E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57" w:hRule="atLeast"/>
          <w:jc w:val="center"/>
        </w:trPr>
        <w:tc>
          <w:tcPr>
            <w:tcW w:w="2364" w:type="dxa"/>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10A968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规章</w:t>
            </w:r>
          </w:p>
        </w:tc>
        <w:tc>
          <w:tcPr>
            <w:tcW w:w="1661" w:type="dxa"/>
            <w:tcBorders>
              <w:top w:val="nil"/>
              <w:left w:val="nil"/>
              <w:bottom w:val="outset" w:color="auto" w:sz="4" w:space="0"/>
              <w:right w:val="outset" w:color="auto" w:sz="4" w:space="0"/>
            </w:tcBorders>
            <w:shd w:val="clear" w:color="auto" w:fill="auto"/>
            <w:tcMar>
              <w:left w:w="60" w:type="dxa"/>
              <w:right w:w="60" w:type="dxa"/>
            </w:tcMar>
            <w:vAlign w:val="center"/>
          </w:tcPr>
          <w:p w14:paraId="32A678A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0</w:t>
            </w:r>
          </w:p>
        </w:tc>
        <w:tc>
          <w:tcPr>
            <w:tcW w:w="1661" w:type="dxa"/>
            <w:tcBorders>
              <w:top w:val="nil"/>
              <w:left w:val="nil"/>
              <w:bottom w:val="outset" w:color="auto" w:sz="4" w:space="0"/>
              <w:right w:val="outset" w:color="auto" w:sz="4" w:space="0"/>
            </w:tcBorders>
            <w:shd w:val="clear" w:color="auto" w:fill="auto"/>
            <w:tcMar>
              <w:left w:w="60" w:type="dxa"/>
              <w:right w:w="60" w:type="dxa"/>
            </w:tcMar>
            <w:vAlign w:val="center"/>
          </w:tcPr>
          <w:p w14:paraId="76672B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0</w:t>
            </w:r>
          </w:p>
        </w:tc>
        <w:tc>
          <w:tcPr>
            <w:tcW w:w="1661" w:type="dxa"/>
            <w:tcBorders>
              <w:top w:val="nil"/>
              <w:left w:val="nil"/>
              <w:bottom w:val="outset" w:color="auto" w:sz="4" w:space="0"/>
              <w:right w:val="outset" w:color="auto" w:sz="4" w:space="0"/>
            </w:tcBorders>
            <w:shd w:val="clear" w:color="auto" w:fill="auto"/>
            <w:tcMar>
              <w:left w:w="60" w:type="dxa"/>
              <w:right w:w="60" w:type="dxa"/>
            </w:tcMar>
            <w:vAlign w:val="center"/>
          </w:tcPr>
          <w:p w14:paraId="2C453B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0</w:t>
            </w:r>
          </w:p>
        </w:tc>
      </w:tr>
      <w:tr w14:paraId="6FD4A1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57" w:hRule="atLeast"/>
          <w:jc w:val="center"/>
        </w:trPr>
        <w:tc>
          <w:tcPr>
            <w:tcW w:w="2364" w:type="dxa"/>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0F70FA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行政规范性文件</w:t>
            </w:r>
          </w:p>
        </w:tc>
        <w:tc>
          <w:tcPr>
            <w:tcW w:w="1661" w:type="dxa"/>
            <w:tcBorders>
              <w:top w:val="nil"/>
              <w:left w:val="nil"/>
              <w:bottom w:val="outset" w:color="auto" w:sz="4" w:space="0"/>
              <w:right w:val="outset" w:color="auto" w:sz="4" w:space="0"/>
            </w:tcBorders>
            <w:shd w:val="clear" w:color="auto" w:fill="auto"/>
            <w:tcMar>
              <w:left w:w="60" w:type="dxa"/>
              <w:right w:w="60" w:type="dxa"/>
            </w:tcMar>
            <w:vAlign w:val="center"/>
          </w:tcPr>
          <w:p w14:paraId="412F93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0</w:t>
            </w:r>
          </w:p>
        </w:tc>
        <w:tc>
          <w:tcPr>
            <w:tcW w:w="1661" w:type="dxa"/>
            <w:tcBorders>
              <w:top w:val="nil"/>
              <w:left w:val="nil"/>
              <w:bottom w:val="outset" w:color="auto" w:sz="4" w:space="0"/>
              <w:right w:val="outset" w:color="auto" w:sz="4" w:space="0"/>
            </w:tcBorders>
            <w:shd w:val="clear" w:color="auto" w:fill="auto"/>
            <w:tcMar>
              <w:left w:w="60" w:type="dxa"/>
              <w:right w:w="60" w:type="dxa"/>
            </w:tcMar>
            <w:vAlign w:val="center"/>
          </w:tcPr>
          <w:p w14:paraId="4046C1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0</w:t>
            </w:r>
          </w:p>
        </w:tc>
        <w:tc>
          <w:tcPr>
            <w:tcW w:w="1661" w:type="dxa"/>
            <w:tcBorders>
              <w:top w:val="nil"/>
              <w:left w:val="nil"/>
              <w:bottom w:val="outset" w:color="auto" w:sz="4" w:space="0"/>
              <w:right w:val="outset" w:color="auto" w:sz="4" w:space="0"/>
            </w:tcBorders>
            <w:shd w:val="clear" w:color="auto" w:fill="auto"/>
            <w:tcMar>
              <w:left w:w="60" w:type="dxa"/>
              <w:right w:w="60" w:type="dxa"/>
            </w:tcMar>
            <w:vAlign w:val="center"/>
          </w:tcPr>
          <w:p w14:paraId="4B062D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0</w:t>
            </w:r>
          </w:p>
        </w:tc>
      </w:tr>
      <w:tr w14:paraId="10BEEA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57" w:hRule="atLeast"/>
          <w:jc w:val="center"/>
        </w:trPr>
        <w:tc>
          <w:tcPr>
            <w:tcW w:w="7347" w:type="dxa"/>
            <w:gridSpan w:val="4"/>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2E51700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第二十条第（五）项</w:t>
            </w:r>
          </w:p>
        </w:tc>
      </w:tr>
      <w:tr w14:paraId="4FCE9D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57" w:hRule="atLeast"/>
          <w:jc w:val="center"/>
        </w:trPr>
        <w:tc>
          <w:tcPr>
            <w:tcW w:w="2364" w:type="dxa"/>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5144EC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信息内容</w:t>
            </w:r>
          </w:p>
        </w:tc>
        <w:tc>
          <w:tcPr>
            <w:tcW w:w="4983" w:type="dxa"/>
            <w:gridSpan w:val="3"/>
            <w:tcBorders>
              <w:top w:val="outset" w:color="auto" w:sz="4" w:space="0"/>
              <w:left w:val="nil"/>
              <w:bottom w:val="outset" w:color="auto" w:sz="4" w:space="0"/>
              <w:right w:val="outset" w:color="auto" w:sz="4" w:space="0"/>
            </w:tcBorders>
            <w:shd w:val="clear" w:color="auto" w:fill="auto"/>
            <w:tcMar>
              <w:left w:w="60" w:type="dxa"/>
              <w:right w:w="60" w:type="dxa"/>
            </w:tcMar>
            <w:vAlign w:val="center"/>
          </w:tcPr>
          <w:p w14:paraId="4661CF2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本年处理决定数量</w:t>
            </w:r>
          </w:p>
        </w:tc>
      </w:tr>
      <w:tr w14:paraId="55BB5F6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57" w:hRule="atLeast"/>
          <w:jc w:val="center"/>
        </w:trPr>
        <w:tc>
          <w:tcPr>
            <w:tcW w:w="2364" w:type="dxa"/>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7AEAD9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行政许可</w:t>
            </w:r>
          </w:p>
        </w:tc>
        <w:tc>
          <w:tcPr>
            <w:tcW w:w="4983" w:type="dxa"/>
            <w:gridSpan w:val="3"/>
            <w:tcBorders>
              <w:top w:val="nil"/>
              <w:left w:val="nil"/>
              <w:bottom w:val="outset" w:color="auto" w:sz="4" w:space="0"/>
              <w:right w:val="outset" w:color="auto" w:sz="4" w:space="0"/>
            </w:tcBorders>
            <w:shd w:val="clear" w:color="auto" w:fill="auto"/>
            <w:tcMar>
              <w:left w:w="60" w:type="dxa"/>
              <w:right w:w="60" w:type="dxa"/>
            </w:tcMar>
            <w:vAlign w:val="center"/>
          </w:tcPr>
          <w:p w14:paraId="2081D7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0</w:t>
            </w:r>
          </w:p>
        </w:tc>
      </w:tr>
      <w:tr w14:paraId="6B82D5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57" w:hRule="atLeast"/>
          <w:jc w:val="center"/>
        </w:trPr>
        <w:tc>
          <w:tcPr>
            <w:tcW w:w="7347" w:type="dxa"/>
            <w:gridSpan w:val="4"/>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77465E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第二十条第（六）项</w:t>
            </w:r>
          </w:p>
        </w:tc>
      </w:tr>
      <w:tr w14:paraId="247991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57" w:hRule="atLeast"/>
          <w:jc w:val="center"/>
        </w:trPr>
        <w:tc>
          <w:tcPr>
            <w:tcW w:w="2364" w:type="dxa"/>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1D537C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信息内容</w:t>
            </w:r>
          </w:p>
        </w:tc>
        <w:tc>
          <w:tcPr>
            <w:tcW w:w="4983" w:type="dxa"/>
            <w:gridSpan w:val="3"/>
            <w:tcBorders>
              <w:top w:val="outset" w:color="auto" w:sz="4" w:space="0"/>
              <w:left w:val="nil"/>
              <w:bottom w:val="outset" w:color="auto" w:sz="4" w:space="0"/>
              <w:right w:val="outset" w:color="auto" w:sz="4" w:space="0"/>
            </w:tcBorders>
            <w:shd w:val="clear" w:color="auto" w:fill="auto"/>
            <w:tcMar>
              <w:left w:w="60" w:type="dxa"/>
              <w:right w:w="60" w:type="dxa"/>
            </w:tcMar>
            <w:vAlign w:val="center"/>
          </w:tcPr>
          <w:p w14:paraId="1ADF99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本年处理决定数量</w:t>
            </w:r>
          </w:p>
        </w:tc>
      </w:tr>
      <w:tr w14:paraId="1FBA22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57" w:hRule="atLeast"/>
          <w:jc w:val="center"/>
        </w:trPr>
        <w:tc>
          <w:tcPr>
            <w:tcW w:w="2364" w:type="dxa"/>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5335BDF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行政处罚</w:t>
            </w:r>
          </w:p>
        </w:tc>
        <w:tc>
          <w:tcPr>
            <w:tcW w:w="4983" w:type="dxa"/>
            <w:gridSpan w:val="3"/>
            <w:tcBorders>
              <w:top w:val="nil"/>
              <w:left w:val="nil"/>
              <w:bottom w:val="outset" w:color="auto" w:sz="4" w:space="0"/>
              <w:right w:val="outset" w:color="auto" w:sz="4" w:space="0"/>
            </w:tcBorders>
            <w:shd w:val="clear" w:color="auto" w:fill="auto"/>
            <w:tcMar>
              <w:left w:w="60" w:type="dxa"/>
              <w:right w:w="60" w:type="dxa"/>
            </w:tcMar>
            <w:vAlign w:val="center"/>
          </w:tcPr>
          <w:p w14:paraId="6C39369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0</w:t>
            </w:r>
          </w:p>
        </w:tc>
      </w:tr>
      <w:tr w14:paraId="4F50FE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57" w:hRule="atLeast"/>
          <w:jc w:val="center"/>
        </w:trPr>
        <w:tc>
          <w:tcPr>
            <w:tcW w:w="2364" w:type="dxa"/>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565D1A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行政强制</w:t>
            </w:r>
          </w:p>
        </w:tc>
        <w:tc>
          <w:tcPr>
            <w:tcW w:w="4983" w:type="dxa"/>
            <w:gridSpan w:val="3"/>
            <w:tcBorders>
              <w:top w:val="nil"/>
              <w:left w:val="nil"/>
              <w:bottom w:val="outset" w:color="auto" w:sz="4" w:space="0"/>
              <w:right w:val="outset" w:color="auto" w:sz="4" w:space="0"/>
            </w:tcBorders>
            <w:shd w:val="clear" w:color="auto" w:fill="auto"/>
            <w:tcMar>
              <w:left w:w="60" w:type="dxa"/>
              <w:right w:w="60" w:type="dxa"/>
            </w:tcMar>
            <w:vAlign w:val="center"/>
          </w:tcPr>
          <w:p w14:paraId="129FE66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0</w:t>
            </w:r>
          </w:p>
        </w:tc>
      </w:tr>
      <w:tr w14:paraId="2F85279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57" w:hRule="atLeast"/>
          <w:jc w:val="center"/>
        </w:trPr>
        <w:tc>
          <w:tcPr>
            <w:tcW w:w="7347" w:type="dxa"/>
            <w:gridSpan w:val="4"/>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1B6E90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第二十条第（八）项</w:t>
            </w:r>
          </w:p>
        </w:tc>
      </w:tr>
      <w:tr w14:paraId="75ABF0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57" w:hRule="atLeast"/>
          <w:jc w:val="center"/>
        </w:trPr>
        <w:tc>
          <w:tcPr>
            <w:tcW w:w="2364" w:type="dxa"/>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5516BB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信息内容</w:t>
            </w:r>
          </w:p>
        </w:tc>
        <w:tc>
          <w:tcPr>
            <w:tcW w:w="4983" w:type="dxa"/>
            <w:gridSpan w:val="3"/>
            <w:tcBorders>
              <w:top w:val="outset" w:color="auto" w:sz="4" w:space="0"/>
              <w:left w:val="nil"/>
              <w:bottom w:val="outset" w:color="auto" w:sz="4" w:space="0"/>
              <w:right w:val="outset" w:color="auto" w:sz="4" w:space="0"/>
            </w:tcBorders>
            <w:shd w:val="clear" w:color="auto" w:fill="auto"/>
            <w:tcMar>
              <w:left w:w="60" w:type="dxa"/>
              <w:right w:w="60" w:type="dxa"/>
            </w:tcMar>
            <w:vAlign w:val="center"/>
          </w:tcPr>
          <w:p w14:paraId="6679497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本年收费金额（单位：万元）</w:t>
            </w:r>
          </w:p>
        </w:tc>
      </w:tr>
      <w:tr w14:paraId="105C33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57" w:hRule="atLeast"/>
          <w:jc w:val="center"/>
        </w:trPr>
        <w:tc>
          <w:tcPr>
            <w:tcW w:w="2364" w:type="dxa"/>
            <w:tcBorders>
              <w:top w:val="nil"/>
              <w:left w:val="outset" w:color="auto" w:sz="4" w:space="0"/>
              <w:bottom w:val="outset" w:color="auto" w:sz="4" w:space="0"/>
              <w:right w:val="outset" w:color="auto" w:sz="4" w:space="0"/>
            </w:tcBorders>
            <w:shd w:val="clear" w:color="auto" w:fill="auto"/>
            <w:tcMar>
              <w:left w:w="60" w:type="dxa"/>
              <w:right w:w="60" w:type="dxa"/>
            </w:tcMar>
            <w:vAlign w:val="center"/>
          </w:tcPr>
          <w:p w14:paraId="5E561B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行政事业性收费</w:t>
            </w:r>
          </w:p>
        </w:tc>
        <w:tc>
          <w:tcPr>
            <w:tcW w:w="4983" w:type="dxa"/>
            <w:gridSpan w:val="3"/>
            <w:tcBorders>
              <w:top w:val="nil"/>
              <w:left w:val="nil"/>
              <w:bottom w:val="outset" w:color="auto" w:sz="4" w:space="0"/>
              <w:right w:val="outset" w:color="auto" w:sz="4" w:space="0"/>
            </w:tcBorders>
            <w:shd w:val="clear" w:color="auto" w:fill="auto"/>
            <w:tcMar>
              <w:left w:w="60" w:type="dxa"/>
              <w:right w:w="60" w:type="dxa"/>
            </w:tcMar>
            <w:vAlign w:val="center"/>
          </w:tcPr>
          <w:p w14:paraId="1D218A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4"/>
                <w:szCs w:val="24"/>
              </w:rPr>
            </w:pPr>
            <w:r>
              <w:rPr>
                <w:rFonts w:hint="eastAsia" w:ascii="黑体" w:hAnsi="黑体" w:eastAsia="黑体" w:cs="黑体"/>
                <w:sz w:val="24"/>
                <w:szCs w:val="24"/>
              </w:rPr>
              <w:t>0</w:t>
            </w:r>
          </w:p>
        </w:tc>
      </w:tr>
    </w:tbl>
    <w:p w14:paraId="2A1839C8">
      <w:pPr>
        <w:keepNext w:val="0"/>
        <w:keepLines w:val="0"/>
        <w:widowControl/>
        <w:suppressLineNumbers w:val="0"/>
        <w:jc w:val="left"/>
        <w:rPr>
          <w:rFonts w:ascii="黑体" w:hAnsi="宋体" w:eastAsia="黑体" w:cs="黑体"/>
          <w:color w:val="333333"/>
          <w:kern w:val="0"/>
          <w:sz w:val="31"/>
          <w:szCs w:val="31"/>
          <w:lang w:val="en-US" w:eastAsia="zh-CN" w:bidi="ar"/>
        </w:rPr>
      </w:pPr>
    </w:p>
    <w:p w14:paraId="14E18FF0">
      <w:pPr>
        <w:keepNext w:val="0"/>
        <w:keepLines w:val="0"/>
        <w:widowControl/>
        <w:suppressLineNumbers w:val="0"/>
        <w:jc w:val="left"/>
        <w:rPr>
          <w:rFonts w:ascii="黑体" w:hAnsi="宋体" w:eastAsia="黑体" w:cs="黑体"/>
          <w:color w:val="333333"/>
          <w:kern w:val="0"/>
          <w:sz w:val="31"/>
          <w:szCs w:val="31"/>
          <w:lang w:val="en-US" w:eastAsia="zh-CN" w:bidi="ar"/>
        </w:rPr>
      </w:pPr>
    </w:p>
    <w:p w14:paraId="6A22046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三、收到和处理政府信息公开申请情况</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60" w:type="dxa"/>
          <w:left w:w="120" w:type="dxa"/>
          <w:bottom w:w="60" w:type="dxa"/>
          <w:right w:w="120" w:type="dxa"/>
        </w:tblCellMar>
      </w:tblPr>
      <w:tblGrid>
        <w:gridCol w:w="722"/>
        <w:gridCol w:w="600"/>
        <w:gridCol w:w="2413"/>
        <w:gridCol w:w="720"/>
        <w:gridCol w:w="585"/>
        <w:gridCol w:w="570"/>
        <w:gridCol w:w="720"/>
        <w:gridCol w:w="735"/>
        <w:gridCol w:w="600"/>
        <w:gridCol w:w="602"/>
      </w:tblGrid>
      <w:tr w14:paraId="4FE309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36" w:hRule="atLeast"/>
          <w:jc w:val="center"/>
        </w:trPr>
        <w:tc>
          <w:tcPr>
            <w:tcW w:w="3735"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7E5899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（本列数据的勾稽关系为：第一项加第二项之和，等于第三项加第四项之和）</w:t>
            </w:r>
          </w:p>
        </w:tc>
        <w:tc>
          <w:tcPr>
            <w:tcW w:w="4532" w:type="dxa"/>
            <w:gridSpan w:val="7"/>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2D317A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申请人情况</w:t>
            </w:r>
          </w:p>
        </w:tc>
      </w:tr>
      <w:tr w14:paraId="2C7186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36" w:hRule="atLeast"/>
          <w:jc w:val="center"/>
        </w:trPr>
        <w:tc>
          <w:tcPr>
            <w:tcW w:w="3735"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06A54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720" w:type="dxa"/>
            <w:vMerge w:val="restart"/>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26DB8A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自然人</w:t>
            </w:r>
          </w:p>
        </w:tc>
        <w:tc>
          <w:tcPr>
            <w:tcW w:w="3210" w:type="dxa"/>
            <w:gridSpan w:val="5"/>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47ED5D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法人或其他组织</w:t>
            </w:r>
          </w:p>
        </w:tc>
        <w:tc>
          <w:tcPr>
            <w:tcW w:w="602" w:type="dxa"/>
            <w:vMerge w:val="restart"/>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380112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总计</w:t>
            </w:r>
          </w:p>
        </w:tc>
      </w:tr>
      <w:tr w14:paraId="45F419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576" w:hRule="atLeast"/>
          <w:jc w:val="center"/>
        </w:trPr>
        <w:tc>
          <w:tcPr>
            <w:tcW w:w="3735" w:type="dxa"/>
            <w:gridSpan w:val="3"/>
            <w:vMerge w:val="continue"/>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48FE64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72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DA4107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D1718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商业企业</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96FDB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科研机构</w:t>
            </w:r>
          </w:p>
        </w:tc>
        <w:tc>
          <w:tcPr>
            <w:tcW w:w="720"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650A77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社会公益组织</w:t>
            </w:r>
          </w:p>
        </w:tc>
        <w:tc>
          <w:tcPr>
            <w:tcW w:w="735"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0EE84C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法律服务机构</w:t>
            </w:r>
          </w:p>
        </w:tc>
        <w:tc>
          <w:tcPr>
            <w:tcW w:w="600"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25D6174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其他</w:t>
            </w:r>
          </w:p>
        </w:tc>
        <w:tc>
          <w:tcPr>
            <w:tcW w:w="602" w:type="dxa"/>
            <w:vMerge w:val="continue"/>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4BB8F8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r>
      <w:tr w14:paraId="0201E71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480" w:hRule="atLeast"/>
          <w:jc w:val="center"/>
        </w:trPr>
        <w:tc>
          <w:tcPr>
            <w:tcW w:w="3735" w:type="dxa"/>
            <w:gridSpan w:val="3"/>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76F5C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一、</w:t>
            </w:r>
            <w:bookmarkStart w:id="0" w:name="_Hlk66973412"/>
            <w:r>
              <w:rPr>
                <w:rFonts w:hint="eastAsia" w:ascii="黑体" w:hAnsi="黑体" w:eastAsia="黑体" w:cs="黑体"/>
                <w:sz w:val="22"/>
                <w:szCs w:val="22"/>
              </w:rPr>
              <w:t>本年新收政府信息公开申请数量</w:t>
            </w:r>
            <w:bookmarkEnd w:id="0"/>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E9E1B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E575EE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71BD8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3A207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CAA1C1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7BF0B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74CF1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608E1C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12" w:hRule="atLeast"/>
          <w:jc w:val="center"/>
        </w:trPr>
        <w:tc>
          <w:tcPr>
            <w:tcW w:w="3735" w:type="dxa"/>
            <w:gridSpan w:val="3"/>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99386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二、上年结转政府信息公开申请数量</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CF8FB7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D778C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0AABF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D86CD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F6FC9D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70E1A9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29606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17FFB4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jc w:val="center"/>
        </w:trPr>
        <w:tc>
          <w:tcPr>
            <w:tcW w:w="722" w:type="dxa"/>
            <w:vMerge w:val="restart"/>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309A4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三、本年度办理结果</w:t>
            </w:r>
          </w:p>
        </w:tc>
        <w:tc>
          <w:tcPr>
            <w:tcW w:w="3013" w:type="dxa"/>
            <w:gridSpan w:val="2"/>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578CFB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（一）予以公开</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319C9F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C4525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64D92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45753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007A75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1D6A2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32BC36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1755C5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D478E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3013" w:type="dxa"/>
            <w:gridSpan w:val="2"/>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E38FFE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（二）部分公开（</w:t>
            </w:r>
            <w:bookmarkStart w:id="1" w:name="_Hlk66973981"/>
            <w:r>
              <w:rPr>
                <w:rFonts w:hint="eastAsia" w:ascii="黑体" w:hAnsi="黑体" w:eastAsia="黑体" w:cs="黑体"/>
                <w:sz w:val="22"/>
                <w:szCs w:val="22"/>
              </w:rPr>
              <w:t>区分处理的，只计这一情形，不计其他情形</w:t>
            </w:r>
            <w:bookmarkEnd w:id="1"/>
            <w:r>
              <w:rPr>
                <w:rFonts w:hint="eastAsia" w:ascii="黑体" w:hAnsi="黑体" w:eastAsia="黑体" w:cs="黑体"/>
                <w:sz w:val="22"/>
                <w:szCs w:val="22"/>
              </w:rPr>
              <w:t>）</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23B50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D877A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EAB74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1072A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B7F10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7D1DA8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BC3C62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64510D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E57EF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restart"/>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9A096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（三）不予公开</w:t>
            </w: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D3B120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1.属于国家秘密</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65EEB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7FE407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47C61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9214C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6C9B56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0DD82F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71CB0BE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24E10F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B3908A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0F33D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925FD2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2.</w:t>
            </w:r>
            <w:bookmarkStart w:id="2" w:name="_Hlk66974104"/>
            <w:r>
              <w:rPr>
                <w:rFonts w:hint="eastAsia" w:ascii="黑体" w:hAnsi="黑体" w:eastAsia="黑体" w:cs="黑体"/>
                <w:sz w:val="22"/>
                <w:szCs w:val="22"/>
              </w:rPr>
              <w:t>其他法律行政法规禁止公开</w:t>
            </w:r>
            <w:bookmarkEnd w:id="2"/>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C81A0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1D093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71721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958E7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2957F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945B1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E8B57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52AB570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42CEB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A5C4A7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BCBD5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3.危及“三安全一稳定”</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342854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347C29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09192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FAA93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1F7722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506AD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400AF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15D40E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AC9F4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6C766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7C715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4.</w:t>
            </w:r>
            <w:bookmarkStart w:id="3" w:name="_Hlk66974290"/>
            <w:r>
              <w:rPr>
                <w:rFonts w:hint="eastAsia" w:ascii="黑体" w:hAnsi="黑体" w:eastAsia="黑体" w:cs="黑体"/>
                <w:sz w:val="22"/>
                <w:szCs w:val="22"/>
              </w:rPr>
              <w:t>保护第三方合法权益</w:t>
            </w:r>
            <w:bookmarkEnd w:id="3"/>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6E15F8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E03B19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4FF9B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F0566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9E3D79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04CB0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BFF8A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66AEE33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6C488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0C3DD1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94C71A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5.属于三类内部事务信息</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7E583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54C43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3AE8A6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D2CFF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35DB19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14A9E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1A34D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5A48E9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D17A81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6089E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13283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6.</w:t>
            </w:r>
            <w:bookmarkStart w:id="4" w:name="_Hlk66974555"/>
            <w:r>
              <w:rPr>
                <w:rFonts w:hint="eastAsia" w:ascii="黑体" w:hAnsi="黑体" w:eastAsia="黑体" w:cs="黑体"/>
                <w:sz w:val="22"/>
                <w:szCs w:val="22"/>
              </w:rPr>
              <w:t>属于四类过程性信息</w:t>
            </w:r>
            <w:bookmarkEnd w:id="4"/>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F0C6B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0CE94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71B3F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F14E1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34FC5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21B3A1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101A96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7E5EF8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B768C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B6AEB2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FDCC4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7.属于行政执法案卷</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D1118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30E3C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36169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670EC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BC8B06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D75AE2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81B43E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3A556FF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78D93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6C6A6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822B3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8.</w:t>
            </w:r>
            <w:bookmarkStart w:id="5" w:name="_Hlk66975211"/>
            <w:r>
              <w:rPr>
                <w:rFonts w:hint="eastAsia" w:ascii="黑体" w:hAnsi="黑体" w:eastAsia="黑体" w:cs="黑体"/>
                <w:sz w:val="22"/>
                <w:szCs w:val="22"/>
              </w:rPr>
              <w:t>属于行政查询事项</w:t>
            </w:r>
            <w:bookmarkEnd w:id="5"/>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00857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66DEC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BBE83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1149E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034B5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1B404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9DB9C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66F4B6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BF0FF4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restart"/>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1E476D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（四）无法提供</w:t>
            </w: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03F37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1.本机关不掌握相关政府信息</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B4616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9F1733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E2C2F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E0281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359C9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226B9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84AF9D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66A5F3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E70AC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70160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D5B3B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2.</w:t>
            </w:r>
            <w:bookmarkStart w:id="6" w:name="_Hlk66975392"/>
            <w:r>
              <w:rPr>
                <w:rFonts w:hint="eastAsia" w:ascii="黑体" w:hAnsi="黑体" w:eastAsia="黑体" w:cs="黑体"/>
                <w:sz w:val="22"/>
                <w:szCs w:val="22"/>
              </w:rPr>
              <w:t>没有现成信息需要另行制作</w:t>
            </w:r>
            <w:bookmarkEnd w:id="6"/>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D74548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344C7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68C573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FA1C0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1B23B1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08A01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483216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4AC132F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BD2ADD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DB4ACE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6EA277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3.</w:t>
            </w:r>
            <w:bookmarkStart w:id="7" w:name="_Hlk66975466"/>
            <w:r>
              <w:rPr>
                <w:rFonts w:hint="eastAsia" w:ascii="黑体" w:hAnsi="黑体" w:eastAsia="黑体" w:cs="黑体"/>
                <w:sz w:val="22"/>
                <w:szCs w:val="22"/>
              </w:rPr>
              <w:t>补正后申请内容仍不明确</w:t>
            </w:r>
            <w:bookmarkEnd w:id="7"/>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2806B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71F174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6C0BB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0DE455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4CF76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5D6043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AF0E2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6DC6B3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52381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restart"/>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5CFC6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（五）不予处理</w:t>
            </w: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91359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1.</w:t>
            </w:r>
            <w:bookmarkStart w:id="8" w:name="_Hlk66975537"/>
            <w:r>
              <w:rPr>
                <w:rFonts w:hint="eastAsia" w:ascii="黑体" w:hAnsi="黑体" w:eastAsia="黑体" w:cs="黑体"/>
                <w:sz w:val="22"/>
                <w:szCs w:val="22"/>
              </w:rPr>
              <w:t>信访举报投诉类申请</w:t>
            </w:r>
            <w:bookmarkEnd w:id="8"/>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CD3486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19D70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CFA4B7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3C7D1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C8368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7E33E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10B01F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305E6AB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E73F2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97652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5D8D61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2.重复申请</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447D0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1C9F4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B7CEA0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BC205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06F880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E5449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9037B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5B9A84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60"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6D2FCD9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038D0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78FDC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3.要求提供公开出版物</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2CF66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E3EE02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5B526C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3D1CB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CAB88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EEA75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24AFC8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2735AB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312" w:hRule="atLeast"/>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0A8B43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C2935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70BA38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4.无正当理由大量反复申请</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4A279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730BA4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7C86A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27C0E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F4442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527706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52B45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72CC022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C23D8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BA04D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0C3DAE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5.要求行政机关确认或重新出具已获取信息</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F15C9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5E79E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485AF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A62494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7ACDF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AABF8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208DF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3345624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256DC8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restart"/>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3F265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（六）其他处理</w:t>
            </w:r>
          </w:p>
        </w:tc>
        <w:tc>
          <w:tcPr>
            <w:tcW w:w="2413" w:type="dxa"/>
            <w:tcBorders>
              <w:top w:val="nil"/>
              <w:left w:val="nil"/>
              <w:bottom w:val="single" w:color="auto" w:sz="4" w:space="0"/>
              <w:right w:val="single" w:color="auto" w:sz="4" w:space="0"/>
            </w:tcBorders>
            <w:shd w:val="clear" w:color="auto" w:fill="auto"/>
            <w:tcMar>
              <w:top w:w="0" w:type="dxa"/>
              <w:left w:w="0" w:type="dxa"/>
              <w:bottom w:w="0" w:type="dxa"/>
              <w:right w:w="0" w:type="dxa"/>
            </w:tcMar>
            <w:vAlign w:val="center"/>
          </w:tcPr>
          <w:p w14:paraId="5C478B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1.申请人无正当理由逾期不补正、行政机关不再处理其政府信息公开申请</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9CE25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B0462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971950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A0F24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CDE1D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01ACC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C1070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5D1906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F27F3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21FF83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0" w:type="dxa"/>
              <w:bottom w:w="0" w:type="dxa"/>
              <w:right w:w="0" w:type="dxa"/>
            </w:tcMar>
            <w:vAlign w:val="center"/>
          </w:tcPr>
          <w:p w14:paraId="3FF603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2.申请人逾期未按收费通知要求缴纳费用、行政机关不再处理其政府信息公开申请</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11DF0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389B7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0647F8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20881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649A66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0D723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991959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70C322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4223EF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600"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CE027B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2413" w:type="dxa"/>
            <w:tcBorders>
              <w:top w:val="nil"/>
              <w:left w:val="nil"/>
              <w:bottom w:val="single" w:color="auto" w:sz="4" w:space="0"/>
              <w:right w:val="single" w:color="auto" w:sz="4" w:space="0"/>
            </w:tcBorders>
            <w:shd w:val="clear" w:color="auto" w:fill="auto"/>
            <w:tcMar>
              <w:top w:w="0" w:type="dxa"/>
              <w:left w:w="0" w:type="dxa"/>
              <w:bottom w:w="0" w:type="dxa"/>
              <w:right w:w="0" w:type="dxa"/>
            </w:tcMar>
            <w:vAlign w:val="center"/>
          </w:tcPr>
          <w:p w14:paraId="30E9D52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3.其他</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930DA5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DFA5F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C5C8A7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C7184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9EFF04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37735C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A99E05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4DF1F60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jc w:val="center"/>
        </w:trPr>
        <w:tc>
          <w:tcPr>
            <w:tcW w:w="722"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B06FD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p>
        </w:tc>
        <w:tc>
          <w:tcPr>
            <w:tcW w:w="3013" w:type="dxa"/>
            <w:gridSpan w:val="2"/>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638A942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（七）总计</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DB093B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CB847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AB3C1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8647E5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4EF0DF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77DF9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2503BAF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r w14:paraId="7348B4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jc w:val="center"/>
        </w:trPr>
        <w:tc>
          <w:tcPr>
            <w:tcW w:w="3735" w:type="dxa"/>
            <w:gridSpan w:val="3"/>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328CDF0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四、结转下年度继续办理</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DDDEE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E40767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57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3A9BB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2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DAABE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73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2E9FB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8FE832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c>
          <w:tcPr>
            <w:tcW w:w="602"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A01170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0</w:t>
            </w:r>
          </w:p>
        </w:tc>
      </w:tr>
    </w:tbl>
    <w:p w14:paraId="76BCDC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4"/>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60" w:type="dxa"/>
          <w:left w:w="120" w:type="dxa"/>
          <w:bottom w:w="60" w:type="dxa"/>
          <w:right w:w="120" w:type="dxa"/>
        </w:tblCellMar>
      </w:tblPr>
      <w:tblGrid>
        <w:gridCol w:w="641"/>
        <w:gridCol w:w="641"/>
        <w:gridCol w:w="641"/>
        <w:gridCol w:w="641"/>
        <w:gridCol w:w="387"/>
        <w:gridCol w:w="704"/>
        <w:gridCol w:w="641"/>
        <w:gridCol w:w="641"/>
        <w:gridCol w:w="641"/>
        <w:gridCol w:w="388"/>
        <w:gridCol w:w="645"/>
        <w:gridCol w:w="660"/>
        <w:gridCol w:w="630"/>
        <w:gridCol w:w="630"/>
        <w:gridCol w:w="385"/>
      </w:tblGrid>
      <w:tr w14:paraId="1548A2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778" w:hRule="atLeast"/>
          <w:jc w:val="center"/>
        </w:trPr>
        <w:tc>
          <w:tcPr>
            <w:tcW w:w="2951" w:type="dxa"/>
            <w:gridSpan w:val="5"/>
            <w:tcBorders>
              <w:top w:val="single" w:color="auto" w:sz="4" w:space="0"/>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277463C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行政复议</w:t>
            </w:r>
          </w:p>
        </w:tc>
        <w:tc>
          <w:tcPr>
            <w:tcW w:w="5965" w:type="dxa"/>
            <w:gridSpan w:val="10"/>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2149CB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80" w:afterAutospacing="0" w:line="468" w:lineRule="atLeast"/>
              <w:ind w:left="0" w:right="0"/>
              <w:jc w:val="center"/>
              <w:rPr>
                <w:rFonts w:hint="eastAsia" w:ascii="黑体" w:hAnsi="黑体" w:eastAsia="黑体" w:cs="黑体"/>
                <w:sz w:val="22"/>
                <w:szCs w:val="22"/>
              </w:rPr>
            </w:pPr>
            <w:r>
              <w:rPr>
                <w:rFonts w:hint="eastAsia" w:ascii="黑体" w:hAnsi="黑体" w:eastAsia="黑体" w:cs="黑体"/>
                <w:sz w:val="22"/>
                <w:szCs w:val="22"/>
              </w:rPr>
              <w:t>行政诉讼</w:t>
            </w:r>
          </w:p>
        </w:tc>
      </w:tr>
      <w:tr w14:paraId="611E02C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597" w:hRule="atLeast"/>
          <w:jc w:val="center"/>
        </w:trPr>
        <w:tc>
          <w:tcPr>
            <w:tcW w:w="641" w:type="dxa"/>
            <w:vMerge w:val="restart"/>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7A57AD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结果</w:t>
            </w:r>
          </w:p>
          <w:p w14:paraId="678CD6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维持</w:t>
            </w:r>
          </w:p>
        </w:tc>
        <w:tc>
          <w:tcPr>
            <w:tcW w:w="641" w:type="dxa"/>
            <w:vMerge w:val="restart"/>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48461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结果</w:t>
            </w:r>
          </w:p>
          <w:p w14:paraId="342DC1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纠正</w:t>
            </w:r>
          </w:p>
        </w:tc>
        <w:tc>
          <w:tcPr>
            <w:tcW w:w="641" w:type="dxa"/>
            <w:vMerge w:val="restart"/>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7B0C10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其他</w:t>
            </w:r>
          </w:p>
          <w:p w14:paraId="09C1F4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结果</w:t>
            </w:r>
          </w:p>
        </w:tc>
        <w:tc>
          <w:tcPr>
            <w:tcW w:w="641" w:type="dxa"/>
            <w:vMerge w:val="restart"/>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29C5FC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尚未</w:t>
            </w:r>
          </w:p>
          <w:p w14:paraId="7DC504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审结</w:t>
            </w:r>
          </w:p>
        </w:tc>
        <w:tc>
          <w:tcPr>
            <w:tcW w:w="387" w:type="dxa"/>
            <w:vMerge w:val="restart"/>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26B70D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总</w:t>
            </w:r>
          </w:p>
          <w:p w14:paraId="0C7B47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sz w:val="22"/>
                <w:szCs w:val="22"/>
              </w:rPr>
            </w:pPr>
            <w:r>
              <w:rPr>
                <w:rFonts w:hint="eastAsia" w:ascii="黑体" w:hAnsi="黑体" w:eastAsia="黑体" w:cs="黑体"/>
                <w:kern w:val="0"/>
                <w:sz w:val="22"/>
                <w:szCs w:val="22"/>
                <w:lang w:val="en-US" w:eastAsia="zh-CN" w:bidi="ar"/>
              </w:rPr>
              <w:t>计</w:t>
            </w:r>
          </w:p>
        </w:tc>
        <w:tc>
          <w:tcPr>
            <w:tcW w:w="3015" w:type="dxa"/>
            <w:gridSpan w:val="5"/>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1B5082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sz w:val="22"/>
                <w:szCs w:val="22"/>
              </w:rPr>
            </w:pPr>
            <w:r>
              <w:rPr>
                <w:rFonts w:hint="eastAsia" w:ascii="黑体" w:hAnsi="黑体" w:eastAsia="黑体" w:cs="黑体"/>
                <w:sz w:val="22"/>
                <w:szCs w:val="22"/>
              </w:rPr>
              <w:t>未经复议直接起诉</w:t>
            </w:r>
          </w:p>
        </w:tc>
        <w:tc>
          <w:tcPr>
            <w:tcW w:w="2950" w:type="dxa"/>
            <w:gridSpan w:val="5"/>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59EA3A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sz w:val="22"/>
                <w:szCs w:val="22"/>
              </w:rPr>
            </w:pPr>
            <w:bookmarkStart w:id="9" w:name="_Hlk67039688"/>
            <w:r>
              <w:rPr>
                <w:rFonts w:hint="eastAsia" w:ascii="黑体" w:hAnsi="黑体" w:eastAsia="黑体" w:cs="黑体"/>
                <w:sz w:val="22"/>
                <w:szCs w:val="22"/>
              </w:rPr>
              <w:t>复议后起诉</w:t>
            </w:r>
            <w:bookmarkEnd w:id="9"/>
          </w:p>
        </w:tc>
      </w:tr>
      <w:tr w14:paraId="1BF331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60" w:type="dxa"/>
            <w:left w:w="120" w:type="dxa"/>
            <w:bottom w:w="60" w:type="dxa"/>
            <w:right w:w="120" w:type="dxa"/>
          </w:tblCellMar>
        </w:tblPrEx>
        <w:trPr>
          <w:trHeight w:val="1185" w:hRule="atLeast"/>
          <w:jc w:val="center"/>
        </w:trPr>
        <w:tc>
          <w:tcPr>
            <w:tcW w:w="641" w:type="dxa"/>
            <w:vMerge w:val="continue"/>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537AA09E">
            <w:pPr>
              <w:keepNext w:val="0"/>
              <w:keepLines w:val="0"/>
              <w:pageBreakBefore w:val="0"/>
              <w:kinsoku/>
              <w:overflowPunct/>
              <w:topLinePunct w:val="0"/>
              <w:autoSpaceDE/>
              <w:autoSpaceDN/>
              <w:bidi w:val="0"/>
              <w:adjustRightInd/>
              <w:snapToGrid/>
              <w:spacing w:line="240" w:lineRule="atLeast"/>
              <w:textAlignment w:val="auto"/>
              <w:rPr>
                <w:rFonts w:hint="eastAsia" w:ascii="黑体" w:hAnsi="黑体" w:eastAsia="黑体" w:cs="黑体"/>
                <w:kern w:val="0"/>
                <w:sz w:val="22"/>
                <w:szCs w:val="22"/>
                <w:lang w:val="en-US" w:eastAsia="zh-CN" w:bidi="ar"/>
              </w:rPr>
            </w:pPr>
          </w:p>
        </w:tc>
        <w:tc>
          <w:tcPr>
            <w:tcW w:w="641" w:type="dxa"/>
            <w:vMerge w:val="continue"/>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D43A65A">
            <w:pPr>
              <w:keepNext w:val="0"/>
              <w:keepLines w:val="0"/>
              <w:pageBreakBefore w:val="0"/>
              <w:kinsoku/>
              <w:overflowPunct/>
              <w:topLinePunct w:val="0"/>
              <w:autoSpaceDE/>
              <w:autoSpaceDN/>
              <w:bidi w:val="0"/>
              <w:adjustRightInd/>
              <w:snapToGrid/>
              <w:spacing w:line="240" w:lineRule="atLeast"/>
              <w:textAlignment w:val="auto"/>
              <w:rPr>
                <w:rFonts w:hint="eastAsia" w:ascii="黑体" w:hAnsi="黑体" w:eastAsia="黑体" w:cs="黑体"/>
                <w:kern w:val="0"/>
                <w:sz w:val="22"/>
                <w:szCs w:val="22"/>
                <w:lang w:val="en-US" w:eastAsia="zh-CN" w:bidi="ar"/>
              </w:rPr>
            </w:pPr>
          </w:p>
        </w:tc>
        <w:tc>
          <w:tcPr>
            <w:tcW w:w="641" w:type="dxa"/>
            <w:vMerge w:val="continue"/>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3EAC6086">
            <w:pPr>
              <w:keepNext w:val="0"/>
              <w:keepLines w:val="0"/>
              <w:pageBreakBefore w:val="0"/>
              <w:kinsoku/>
              <w:overflowPunct/>
              <w:topLinePunct w:val="0"/>
              <w:autoSpaceDE/>
              <w:autoSpaceDN/>
              <w:bidi w:val="0"/>
              <w:adjustRightInd/>
              <w:snapToGrid/>
              <w:spacing w:line="240" w:lineRule="atLeast"/>
              <w:textAlignment w:val="auto"/>
              <w:rPr>
                <w:rFonts w:hint="eastAsia" w:ascii="黑体" w:hAnsi="黑体" w:eastAsia="黑体" w:cs="黑体"/>
                <w:kern w:val="0"/>
                <w:sz w:val="22"/>
                <w:szCs w:val="22"/>
                <w:lang w:val="en-US" w:eastAsia="zh-CN" w:bidi="ar"/>
              </w:rPr>
            </w:pPr>
          </w:p>
        </w:tc>
        <w:tc>
          <w:tcPr>
            <w:tcW w:w="641" w:type="dxa"/>
            <w:vMerge w:val="continue"/>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1696902C">
            <w:pPr>
              <w:keepNext w:val="0"/>
              <w:keepLines w:val="0"/>
              <w:pageBreakBefore w:val="0"/>
              <w:kinsoku/>
              <w:overflowPunct/>
              <w:topLinePunct w:val="0"/>
              <w:autoSpaceDE/>
              <w:autoSpaceDN/>
              <w:bidi w:val="0"/>
              <w:adjustRightInd/>
              <w:snapToGrid/>
              <w:spacing w:line="240" w:lineRule="atLeast"/>
              <w:textAlignment w:val="auto"/>
              <w:rPr>
                <w:rFonts w:hint="eastAsia" w:ascii="黑体" w:hAnsi="黑体" w:eastAsia="黑体" w:cs="黑体"/>
                <w:kern w:val="0"/>
                <w:sz w:val="22"/>
                <w:szCs w:val="22"/>
                <w:lang w:val="en-US" w:eastAsia="zh-CN" w:bidi="ar"/>
              </w:rPr>
            </w:pPr>
          </w:p>
        </w:tc>
        <w:tc>
          <w:tcPr>
            <w:tcW w:w="387" w:type="dxa"/>
            <w:vMerge w:val="continue"/>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68F8F129">
            <w:pPr>
              <w:keepNext w:val="0"/>
              <w:keepLines w:val="0"/>
              <w:pageBreakBefore w:val="0"/>
              <w:kinsoku/>
              <w:overflowPunct/>
              <w:topLinePunct w:val="0"/>
              <w:autoSpaceDE/>
              <w:autoSpaceDN/>
              <w:bidi w:val="0"/>
              <w:adjustRightInd/>
              <w:snapToGrid/>
              <w:spacing w:line="240" w:lineRule="atLeast"/>
              <w:textAlignment w:val="auto"/>
              <w:rPr>
                <w:rFonts w:hint="eastAsia" w:ascii="黑体" w:hAnsi="黑体" w:eastAsia="黑体" w:cs="黑体"/>
                <w:kern w:val="0"/>
                <w:sz w:val="22"/>
                <w:szCs w:val="22"/>
                <w:lang w:val="en-US" w:eastAsia="zh-CN" w:bidi="ar"/>
              </w:rPr>
            </w:pPr>
          </w:p>
        </w:tc>
        <w:tc>
          <w:tcPr>
            <w:tcW w:w="70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A89F7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结果维持</w:t>
            </w:r>
          </w:p>
        </w:tc>
        <w:tc>
          <w:tcPr>
            <w:tcW w:w="64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77811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结果纠正</w:t>
            </w:r>
          </w:p>
        </w:tc>
        <w:tc>
          <w:tcPr>
            <w:tcW w:w="641"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7AF652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其他结果</w:t>
            </w:r>
          </w:p>
        </w:tc>
        <w:tc>
          <w:tcPr>
            <w:tcW w:w="641"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31D052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尚未审结</w:t>
            </w:r>
          </w:p>
        </w:tc>
        <w:tc>
          <w:tcPr>
            <w:tcW w:w="388"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40B1FA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总计</w:t>
            </w:r>
          </w:p>
        </w:tc>
        <w:tc>
          <w:tcPr>
            <w:tcW w:w="645"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442D24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结果维持</w:t>
            </w:r>
          </w:p>
        </w:tc>
        <w:tc>
          <w:tcPr>
            <w:tcW w:w="660"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3ED7A2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结果</w:t>
            </w:r>
          </w:p>
          <w:p w14:paraId="7A2507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纠正</w:t>
            </w:r>
          </w:p>
        </w:tc>
        <w:tc>
          <w:tcPr>
            <w:tcW w:w="630"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5BEFCA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其他</w:t>
            </w:r>
          </w:p>
          <w:p w14:paraId="438D56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结果</w:t>
            </w:r>
          </w:p>
        </w:tc>
        <w:tc>
          <w:tcPr>
            <w:tcW w:w="630"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15FA8F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尚未审结</w:t>
            </w:r>
          </w:p>
        </w:tc>
        <w:tc>
          <w:tcPr>
            <w:tcW w:w="385" w:type="dxa"/>
            <w:tcBorders>
              <w:top w:val="single" w:color="auto" w:sz="4" w:space="0"/>
              <w:left w:val="nil"/>
              <w:bottom w:val="single" w:color="auto" w:sz="4" w:space="0"/>
              <w:right w:val="single" w:color="auto" w:sz="4" w:space="0"/>
            </w:tcBorders>
            <w:shd w:val="clear" w:color="auto" w:fill="auto"/>
            <w:tcMar>
              <w:top w:w="0" w:type="dxa"/>
              <w:left w:w="84" w:type="dxa"/>
              <w:bottom w:w="0" w:type="dxa"/>
              <w:right w:w="84" w:type="dxa"/>
            </w:tcMar>
            <w:vAlign w:val="center"/>
          </w:tcPr>
          <w:p w14:paraId="5C6A3B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总计</w:t>
            </w:r>
          </w:p>
        </w:tc>
      </w:tr>
      <w:tr w14:paraId="53784A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60" w:type="dxa"/>
            <w:left w:w="120" w:type="dxa"/>
            <w:bottom w:w="60" w:type="dxa"/>
            <w:right w:w="120" w:type="dxa"/>
          </w:tblCellMar>
        </w:tblPrEx>
        <w:trPr>
          <w:trHeight w:val="847" w:hRule="atLeast"/>
          <w:jc w:val="center"/>
        </w:trPr>
        <w:tc>
          <w:tcPr>
            <w:tcW w:w="641" w:type="dxa"/>
            <w:tcBorders>
              <w:top w:val="nil"/>
              <w:left w:val="single" w:color="auto" w:sz="4" w:space="0"/>
              <w:bottom w:val="single" w:color="auto" w:sz="4" w:space="0"/>
              <w:right w:val="single" w:color="auto" w:sz="4" w:space="0"/>
            </w:tcBorders>
            <w:shd w:val="clear" w:color="auto" w:fill="auto"/>
            <w:tcMar>
              <w:top w:w="0" w:type="dxa"/>
              <w:left w:w="84" w:type="dxa"/>
              <w:bottom w:w="0" w:type="dxa"/>
              <w:right w:w="84" w:type="dxa"/>
            </w:tcMar>
            <w:vAlign w:val="center"/>
          </w:tcPr>
          <w:p w14:paraId="19B41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64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E9F38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64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ECDE6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64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6706C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387"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0C2BB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704"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F087E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64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0CA8FE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64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3F364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641"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4397D2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388"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B37B8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64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86E3BA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66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174EF3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63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37B6C7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630"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7DFE1E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c>
          <w:tcPr>
            <w:tcW w:w="385" w:type="dxa"/>
            <w:tcBorders>
              <w:top w:val="nil"/>
              <w:left w:val="nil"/>
              <w:bottom w:val="single" w:color="auto" w:sz="4" w:space="0"/>
              <w:right w:val="single" w:color="auto" w:sz="4" w:space="0"/>
            </w:tcBorders>
            <w:shd w:val="clear" w:color="auto" w:fill="auto"/>
            <w:tcMar>
              <w:top w:w="0" w:type="dxa"/>
              <w:left w:w="84" w:type="dxa"/>
              <w:bottom w:w="0" w:type="dxa"/>
              <w:right w:w="84" w:type="dxa"/>
            </w:tcMar>
            <w:vAlign w:val="center"/>
          </w:tcPr>
          <w:p w14:paraId="527BE9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tLeast"/>
              <w:ind w:left="0" w:right="0"/>
              <w:jc w:val="center"/>
              <w:textAlignment w:val="auto"/>
              <w:rPr>
                <w:rFonts w:hint="eastAsia" w:ascii="黑体" w:hAnsi="黑体" w:eastAsia="黑体" w:cs="黑体"/>
                <w:kern w:val="0"/>
                <w:sz w:val="22"/>
                <w:szCs w:val="22"/>
                <w:lang w:val="en-US" w:eastAsia="zh-CN" w:bidi="ar"/>
              </w:rPr>
            </w:pPr>
            <w:r>
              <w:rPr>
                <w:rFonts w:hint="eastAsia" w:ascii="黑体" w:hAnsi="黑体" w:eastAsia="黑体" w:cs="黑体"/>
                <w:kern w:val="0"/>
                <w:sz w:val="22"/>
                <w:szCs w:val="22"/>
                <w:lang w:val="en-US" w:eastAsia="zh-CN" w:bidi="ar"/>
              </w:rPr>
              <w:t>0</w:t>
            </w:r>
          </w:p>
        </w:tc>
      </w:tr>
    </w:tbl>
    <w:p w14:paraId="04B0A86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五、存在的主要问题及改进情况</w:t>
      </w:r>
    </w:p>
    <w:p w14:paraId="14DA209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sz w:val="32"/>
          <w:szCs w:val="32"/>
        </w:rPr>
      </w:pPr>
      <w:r>
        <w:rPr>
          <w:rFonts w:ascii="楷体_GB2312" w:eastAsia="楷体_GB2312" w:cs="楷体_GB2312"/>
          <w:sz w:val="32"/>
          <w:szCs w:val="32"/>
        </w:rPr>
        <w:t>（一）存在的主要问题</w:t>
      </w:r>
    </w:p>
    <w:p w14:paraId="64AAE4F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sz w:val="32"/>
          <w:szCs w:val="32"/>
        </w:rPr>
      </w:pPr>
      <w:r>
        <w:rPr>
          <w:rFonts w:ascii="仿宋_GB2312" w:eastAsia="仿宋_GB2312" w:cs="仿宋_GB2312"/>
          <w:sz w:val="32"/>
          <w:szCs w:val="32"/>
        </w:rPr>
        <w:t>一是政务公开形式较为单一</w:t>
      </w:r>
      <w:r>
        <w:rPr>
          <w:rFonts w:hint="default" w:ascii="仿宋_GB2312" w:eastAsia="仿宋_GB2312" w:cs="仿宋_GB2312"/>
          <w:sz w:val="32"/>
          <w:szCs w:val="32"/>
        </w:rPr>
        <w:t>，多以文字图片进行公开，缺乏图表、视频等多样化的公开形式。</w:t>
      </w:r>
    </w:p>
    <w:p w14:paraId="176BBC3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sz w:val="32"/>
          <w:szCs w:val="32"/>
        </w:rPr>
      </w:pPr>
      <w:r>
        <w:rPr>
          <w:rFonts w:hint="default" w:ascii="仿宋_GB2312" w:eastAsia="仿宋_GB2312" w:cs="仿宋_GB2312"/>
          <w:sz w:val="32"/>
          <w:szCs w:val="32"/>
        </w:rPr>
        <w:t>二是政务信息公开制度仍需完善，信息公开的范围、内容、方式和时限等还需进一步明确。</w:t>
      </w:r>
    </w:p>
    <w:p w14:paraId="6581067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sz w:val="32"/>
          <w:szCs w:val="32"/>
        </w:rPr>
      </w:pPr>
      <w:r>
        <w:rPr>
          <w:rFonts w:hint="eastAsia" w:ascii="楷体_GB2312" w:eastAsia="楷体_GB2312" w:cs="楷体_GB2312"/>
          <w:sz w:val="32"/>
          <w:szCs w:val="32"/>
        </w:rPr>
        <w:t>（二）改进情况</w:t>
      </w:r>
    </w:p>
    <w:p w14:paraId="520A7CD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sz w:val="32"/>
          <w:szCs w:val="32"/>
        </w:rPr>
      </w:pPr>
      <w:r>
        <w:rPr>
          <w:rFonts w:hint="default" w:ascii="仿宋_GB2312" w:eastAsia="仿宋_GB2312" w:cs="仿宋_GB2312"/>
          <w:sz w:val="32"/>
          <w:szCs w:val="32"/>
        </w:rPr>
        <w:t>一是提高思想认识，强化责任落实。定期举行政务公开工作专题培训会，开展政务公开专项培训课程，贯彻《中华人民共和国政府信息公开条例》等内容，深刻领会和把握政务公开工作的精神实质和核心要求，切实丰富政务公开内容，提高政务公开质量。</w:t>
      </w:r>
    </w:p>
    <w:p w14:paraId="278A776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sz w:val="32"/>
          <w:szCs w:val="32"/>
        </w:rPr>
      </w:pPr>
      <w:r>
        <w:rPr>
          <w:rFonts w:hint="default" w:ascii="仿宋_GB2312" w:eastAsia="仿宋_GB2312" w:cs="仿宋_GB2312"/>
          <w:sz w:val="32"/>
          <w:szCs w:val="32"/>
        </w:rPr>
        <w:t>二是推动信息公开，夯实政务基础。进一步健全政务信息公开相关的制度，明确信息公开的范围、程序、责任主体和监督机制，明确专员负责政务公开信息录入与审核的日常工作，确保公开信息及时准确，使政务信息公开有制可依，为信息公开工作提供坚实的基础保障。</w:t>
      </w:r>
    </w:p>
    <w:p w14:paraId="6F63CDF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sz w:val="32"/>
          <w:szCs w:val="32"/>
        </w:rPr>
      </w:pPr>
      <w:r>
        <w:rPr>
          <w:rFonts w:ascii="黑体" w:hAnsi="宋体" w:eastAsia="黑体" w:cs="黑体"/>
          <w:sz w:val="32"/>
          <w:szCs w:val="32"/>
        </w:rPr>
        <w:t>六、其他需要报告的事项</w:t>
      </w:r>
    </w:p>
    <w:p w14:paraId="3313BB7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sz w:val="32"/>
          <w:szCs w:val="32"/>
        </w:rPr>
      </w:pPr>
      <w:r>
        <w:rPr>
          <w:rFonts w:hint="default" w:ascii="仿宋_GB2312" w:eastAsia="仿宋_GB2312" w:cs="仿宋_GB2312"/>
          <w:sz w:val="32"/>
          <w:szCs w:val="32"/>
        </w:rPr>
        <w:t>（一）本年度政府信息公开申请未达到《政府信息公开信息处理费管理办法》（国办函〔2020〕109号）所规定的信息处理费收费标准，故未收取信息处理费。</w:t>
      </w:r>
    </w:p>
    <w:p w14:paraId="7F1B153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sz w:val="32"/>
          <w:szCs w:val="32"/>
        </w:rPr>
      </w:pPr>
      <w:r>
        <w:rPr>
          <w:rFonts w:hint="default" w:ascii="仿宋_GB2312" w:eastAsia="仿宋_GB2312" w:cs="仿宋_GB2312"/>
          <w:sz w:val="32"/>
          <w:szCs w:val="32"/>
        </w:rPr>
        <w:t>（二）落实上级政务公开重点工作情况。根据《2024年山东省政务公开效能监测实施方案》要求，结合新材料公司实际，制作主动公开基本目录清单等工作，并及时更新部门信息、产业发展、重点项目等各类信息，促进我单位政务公开工作提质增效。</w:t>
      </w:r>
    </w:p>
    <w:p w14:paraId="0EBC110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sz w:val="32"/>
          <w:szCs w:val="32"/>
        </w:rPr>
      </w:pPr>
      <w:r>
        <w:rPr>
          <w:rFonts w:hint="default" w:ascii="仿宋_GB2312" w:eastAsia="仿宋_GB2312" w:cs="仿宋_GB2312"/>
          <w:sz w:val="32"/>
          <w:szCs w:val="32"/>
        </w:rPr>
        <w:t>（三）2024年全年接到市人大常委会交办的人大代表建议办理工作0件，收到市政协十一届三次会议提案0件。</w:t>
      </w:r>
    </w:p>
    <w:p w14:paraId="103D4AE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sz w:val="32"/>
          <w:szCs w:val="32"/>
        </w:rPr>
      </w:pPr>
      <w:r>
        <w:rPr>
          <w:rFonts w:hint="default" w:ascii="仿宋_GB2312" w:eastAsia="仿宋_GB2312" w:cs="仿宋_GB2312"/>
          <w:sz w:val="32"/>
          <w:szCs w:val="32"/>
        </w:rPr>
        <w:t>（四）本行政机关年度政务公开工作创新情况。一是明确责任分工,强化责任落实。根据《中华人民共和国政府信息公开条例》等文件精神，确定主要领导为政务公开工作的第一责任人，分管领导为具体责任人的工作机制，明确专人负责政务公开工作，形成一级抓一级、层层抓落实的政务公开责任体系；二是深化信息公开，提高落实水平。及时发布各类工作动态信息，不断提升园区工作的透明度和公信力，增强园区与企业之间的信任与监督。</w:t>
      </w:r>
    </w:p>
    <w:p w14:paraId="7C32D1A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sz w:val="32"/>
          <w:szCs w:val="32"/>
        </w:rPr>
      </w:pPr>
      <w:r>
        <w:rPr>
          <w:rFonts w:hint="default" w:ascii="仿宋_GB2312" w:eastAsia="仿宋_GB2312" w:cs="仿宋_GB2312"/>
          <w:sz w:val="32"/>
          <w:szCs w:val="32"/>
        </w:rPr>
        <w:t>（五）本行政机关政府信息公开工作年度报告数据统计需要说明的事项。本报告中所列数据的统计时限为2024年1月1日至2024年12月31日。</w:t>
      </w:r>
    </w:p>
    <w:p w14:paraId="67D6408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sz w:val="32"/>
          <w:szCs w:val="32"/>
        </w:rPr>
      </w:pPr>
      <w:r>
        <w:rPr>
          <w:rFonts w:hint="default" w:ascii="仿宋_GB2312" w:eastAsia="仿宋_GB2312" w:cs="仿宋_GB2312"/>
          <w:sz w:val="32"/>
          <w:szCs w:val="32"/>
        </w:rPr>
        <w:t>（六）本行政机关认为需要报告的其他事项：无。</w:t>
      </w:r>
    </w:p>
    <w:p w14:paraId="45539FF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default" w:ascii="仿宋_GB2312" w:eastAsia="仿宋_GB2312" w:cs="仿宋_GB2312"/>
          <w:sz w:val="32"/>
          <w:szCs w:val="32"/>
        </w:rPr>
        <w:t>（七）其他有关文件专门要求通过政府信息公开工作年度报告予以报告的事项：无。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AF3BF5"/>
    <w:rsid w:val="076504E3"/>
    <w:rsid w:val="0DA43871"/>
    <w:rsid w:val="20360CA0"/>
    <w:rsid w:val="25FD7B6A"/>
    <w:rsid w:val="27506FC9"/>
    <w:rsid w:val="28FB65E3"/>
    <w:rsid w:val="2AF7102C"/>
    <w:rsid w:val="2D605E17"/>
    <w:rsid w:val="2D65712B"/>
    <w:rsid w:val="2F376B8C"/>
    <w:rsid w:val="2FE37DD1"/>
    <w:rsid w:val="3491604D"/>
    <w:rsid w:val="3958538C"/>
    <w:rsid w:val="464E3D9E"/>
    <w:rsid w:val="469F45FA"/>
    <w:rsid w:val="47AF3BF5"/>
    <w:rsid w:val="51B86EB8"/>
    <w:rsid w:val="5394300C"/>
    <w:rsid w:val="55A559A5"/>
    <w:rsid w:val="577C7118"/>
    <w:rsid w:val="586236D9"/>
    <w:rsid w:val="5B136F0D"/>
    <w:rsid w:val="66B07D06"/>
    <w:rsid w:val="670818F0"/>
    <w:rsid w:val="712F5E2B"/>
    <w:rsid w:val="72086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spacing w:line="660" w:lineRule="exact"/>
      <w:ind w:firstLine="705"/>
    </w:pPr>
    <w:rPr>
      <w:rFonts w:ascii="仿宋_GB2312" w:eastAsia="仿宋_GB2312"/>
      <w:color w:val="000000"/>
      <w:sz w:val="36"/>
      <w:szCs w:val="36"/>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3145</Words>
  <Characters>3283</Characters>
  <Lines>0</Lines>
  <Paragraphs>0</Paragraphs>
  <TotalTime>6</TotalTime>
  <ScaleCrop>false</ScaleCrop>
  <LinksUpToDate>false</LinksUpToDate>
  <CharactersWithSpaces>3283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2025-01-17T01:50:00Z</dcterms:created>
  <dc:creator>幸年</dc:creator>
  <cp:lastModifiedBy>幸年</cp:lastModifiedBy>
  <dcterms:modified xsi:type="dcterms:W3CDTF">2025-01-23T09:22:06Z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2DDB5A43F6344AC5A5962C3141DD895C_11</vt:lpwstr>
  </property>
  <property fmtid="{D5CDD505-2E9C-101B-9397-08002B2CF9AE}" pid="4" name="KSOTemplateDocerSaveRecord">
    <vt:lpwstr>eyJoZGlkIjoiMjA3N2U2YjU3MTMyYzY3NGJhODlmOGVmZWJlNjU4MTAiLCJ1c2VySWQiOiI0NzQwNjU5NDEifQ==</vt:lpwstr>
  </property>
</Properties>
</file>