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03F64">
      <w:pPr>
        <w:rPr>
          <w:rFonts w:hint="eastAsia"/>
        </w:rPr>
      </w:pPr>
    </w:p>
    <w:p w14:paraId="7954364C">
      <w:pPr>
        <w:rPr>
          <w:rFonts w:hint="eastAsia"/>
        </w:rPr>
      </w:pPr>
    </w:p>
    <w:p w14:paraId="1C2B90B4">
      <w:pPr>
        <w:jc w:val="center"/>
        <w:rPr>
          <w:rFonts w:hint="eastAsia" w:ascii="宋体" w:hAnsi="宋体" w:eastAsia="宋体" w:cs="宋体"/>
          <w:b/>
          <w:bCs/>
          <w:sz w:val="44"/>
          <w:szCs w:val="44"/>
        </w:rPr>
      </w:pPr>
    </w:p>
    <w:p w14:paraId="3E4316FA">
      <w:pPr>
        <w:jc w:val="center"/>
        <w:rPr>
          <w:rFonts w:hint="eastAsia" w:ascii="宋体" w:hAnsi="宋体" w:eastAsia="宋体" w:cs="宋体"/>
          <w:b/>
          <w:bCs/>
          <w:sz w:val="44"/>
          <w:szCs w:val="44"/>
        </w:rPr>
      </w:pPr>
    </w:p>
    <w:p w14:paraId="0C80280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rPr>
        <w:t>枣庄高新建设集团有限公司</w:t>
      </w:r>
    </w:p>
    <w:p w14:paraId="11698F1A">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年政府信息公开工作年度报告</w:t>
      </w:r>
    </w:p>
    <w:p w14:paraId="7C37A6C2">
      <w:pPr>
        <w:rPr>
          <w:rFonts w:hint="eastAsia"/>
        </w:rPr>
      </w:pPr>
    </w:p>
    <w:p w14:paraId="6B8E3F85">
      <w:pPr>
        <w:rPr>
          <w:rFonts w:hint="eastAsia"/>
        </w:rPr>
      </w:pPr>
    </w:p>
    <w:p w14:paraId="71949672">
      <w:pPr>
        <w:rPr>
          <w:rFonts w:hint="eastAsia"/>
        </w:rPr>
      </w:pPr>
    </w:p>
    <w:p w14:paraId="750ECE46">
      <w:pPr>
        <w:rPr>
          <w:rFonts w:hint="eastAsia"/>
        </w:rPr>
      </w:pPr>
    </w:p>
    <w:p w14:paraId="24BD8DCC">
      <w:pPr>
        <w:rPr>
          <w:rFonts w:hint="eastAsia"/>
        </w:rPr>
      </w:pPr>
    </w:p>
    <w:p w14:paraId="5278FD3F">
      <w:pPr>
        <w:rPr>
          <w:rFonts w:hint="eastAsia"/>
        </w:rPr>
      </w:pPr>
    </w:p>
    <w:p w14:paraId="7E7FEBD5">
      <w:pPr>
        <w:rPr>
          <w:rFonts w:hint="eastAsia"/>
        </w:rPr>
      </w:pPr>
    </w:p>
    <w:p w14:paraId="19A424C1">
      <w:pPr>
        <w:rPr>
          <w:rFonts w:hint="eastAsia"/>
        </w:rPr>
      </w:pPr>
    </w:p>
    <w:p w14:paraId="534A942F">
      <w:pPr>
        <w:rPr>
          <w:rFonts w:hint="eastAsia"/>
        </w:rPr>
      </w:pPr>
    </w:p>
    <w:p w14:paraId="629462A5">
      <w:pPr>
        <w:rPr>
          <w:rFonts w:hint="eastAsia"/>
        </w:rPr>
      </w:pPr>
    </w:p>
    <w:p w14:paraId="5FB6B331">
      <w:pPr>
        <w:rPr>
          <w:rFonts w:hint="eastAsia"/>
        </w:rPr>
      </w:pPr>
    </w:p>
    <w:p w14:paraId="5E27650F">
      <w:pPr>
        <w:rPr>
          <w:rFonts w:hint="eastAsia"/>
        </w:rPr>
      </w:pPr>
    </w:p>
    <w:p w14:paraId="3565953A">
      <w:pPr>
        <w:rPr>
          <w:rFonts w:hint="eastAsia"/>
        </w:rPr>
      </w:pPr>
    </w:p>
    <w:p w14:paraId="67535AB1">
      <w:pPr>
        <w:rPr>
          <w:rFonts w:hint="eastAsia"/>
        </w:rPr>
      </w:pPr>
    </w:p>
    <w:p w14:paraId="20566B65">
      <w:pPr>
        <w:rPr>
          <w:rFonts w:hint="eastAsia"/>
        </w:rPr>
      </w:pPr>
    </w:p>
    <w:p w14:paraId="63ADE780">
      <w:pPr>
        <w:rPr>
          <w:rFonts w:hint="eastAsia"/>
        </w:rPr>
      </w:pPr>
    </w:p>
    <w:p w14:paraId="0FAE4298">
      <w:pPr>
        <w:rPr>
          <w:rFonts w:hint="eastAsia"/>
        </w:rPr>
      </w:pPr>
    </w:p>
    <w:p w14:paraId="79595C66">
      <w:pPr>
        <w:rPr>
          <w:rFonts w:hint="eastAsia"/>
        </w:rPr>
      </w:pPr>
    </w:p>
    <w:p w14:paraId="358A0D7D">
      <w:pPr>
        <w:rPr>
          <w:rFonts w:hint="eastAsia"/>
        </w:rPr>
      </w:pPr>
    </w:p>
    <w:p w14:paraId="5A8F94A3">
      <w:pPr>
        <w:jc w:val="center"/>
        <w:rPr>
          <w:rFonts w:hint="eastAsia"/>
          <w:b/>
          <w:bCs/>
          <w:sz w:val="32"/>
          <w:szCs w:val="32"/>
          <w:lang w:val="en-US" w:eastAsia="zh-CN"/>
        </w:rPr>
      </w:pPr>
      <w:r>
        <w:rPr>
          <w:rFonts w:hint="eastAsia"/>
          <w:b/>
          <w:bCs/>
          <w:sz w:val="32"/>
          <w:szCs w:val="32"/>
          <w:lang w:val="en-US" w:eastAsia="zh-CN"/>
        </w:rPr>
        <w:t>2025年1月23日</w:t>
      </w:r>
    </w:p>
    <w:p w14:paraId="2548C6F1">
      <w:pPr>
        <w:jc w:val="center"/>
        <w:rPr>
          <w:rFonts w:hint="default"/>
          <w:b/>
          <w:bCs/>
          <w:sz w:val="32"/>
          <w:szCs w:val="32"/>
          <w:lang w:val="en-US" w:eastAsia="zh-CN"/>
        </w:rPr>
      </w:pPr>
      <w:r>
        <w:rPr>
          <w:rFonts w:hint="eastAsia"/>
          <w:b/>
          <w:bCs/>
          <w:sz w:val="32"/>
          <w:szCs w:val="32"/>
          <w:lang w:val="en-US" w:eastAsia="zh-CN"/>
        </w:rPr>
        <w:t>建设集团综合部</w:t>
      </w:r>
    </w:p>
    <w:p w14:paraId="6A90AEBD">
      <w:pPr>
        <w:rPr>
          <w:rFonts w:hint="eastAsia"/>
        </w:rPr>
      </w:pPr>
    </w:p>
    <w:p w14:paraId="5C025E16">
      <w:pPr>
        <w:rPr>
          <w:rFonts w:hint="eastAsia"/>
        </w:rPr>
      </w:pPr>
    </w:p>
    <w:p w14:paraId="6BF1431A">
      <w:pPr>
        <w:rPr>
          <w:rFonts w:hint="eastAsia"/>
        </w:rPr>
      </w:pPr>
    </w:p>
    <w:p w14:paraId="45FF2CE6">
      <w:pPr>
        <w:rPr>
          <w:rFonts w:hint="eastAsia"/>
        </w:rPr>
      </w:pPr>
    </w:p>
    <w:p w14:paraId="38E679E7">
      <w:pPr>
        <w:rPr>
          <w:rFonts w:hint="eastAsia"/>
        </w:rPr>
      </w:pPr>
    </w:p>
    <w:p w14:paraId="02B73F36">
      <w:pPr>
        <w:ind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本年度报告根据《中华人民共和国政府信息公开条例》和《国务院办公厅政府信息与政务公开办公室关于印发</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中华人民共和国政府信息公开工作年度报告格式</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的通知》（国办公开办函〔2021〕30号）相关要求编制，内容包括总体情况、主动公开政府信息情况、收到和处理政府信息公开申请情况、</w:t>
      </w:r>
      <w:r>
        <w:rPr>
          <w:rFonts w:hint="eastAsia" w:ascii="仿宋_GB2312" w:hAnsi="仿宋_GB2312" w:eastAsia="仿宋_GB2312" w:cs="仿宋_GB2312"/>
          <w:i w:val="0"/>
          <w:iCs w:val="0"/>
          <w:caps w:val="0"/>
          <w:color w:val="auto"/>
          <w:spacing w:val="0"/>
          <w:sz w:val="32"/>
          <w:szCs w:val="32"/>
          <w:lang w:val="en-US" w:eastAsia="zh-CN"/>
        </w:rPr>
        <w:t>因</w:t>
      </w:r>
      <w:r>
        <w:rPr>
          <w:rFonts w:hint="eastAsia" w:ascii="仿宋_GB2312" w:hAnsi="仿宋_GB2312" w:eastAsia="仿宋_GB2312" w:cs="仿宋_GB2312"/>
          <w:i w:val="0"/>
          <w:iCs w:val="0"/>
          <w:caps w:val="0"/>
          <w:color w:val="auto"/>
          <w:spacing w:val="0"/>
          <w:sz w:val="32"/>
          <w:szCs w:val="32"/>
        </w:rPr>
        <w:t>政府信息公开</w:t>
      </w:r>
      <w:r>
        <w:rPr>
          <w:rFonts w:hint="eastAsia" w:ascii="仿宋_GB2312" w:hAnsi="仿宋_GB2312" w:eastAsia="仿宋_GB2312" w:cs="仿宋_GB2312"/>
          <w:i w:val="0"/>
          <w:iCs w:val="0"/>
          <w:caps w:val="0"/>
          <w:color w:val="auto"/>
          <w:spacing w:val="0"/>
          <w:sz w:val="32"/>
          <w:szCs w:val="32"/>
          <w:lang w:val="en-US" w:eastAsia="zh-CN"/>
        </w:rPr>
        <w:t>工作被申请</w:t>
      </w:r>
      <w:r>
        <w:rPr>
          <w:rFonts w:hint="eastAsia" w:ascii="仿宋_GB2312" w:hAnsi="仿宋_GB2312" w:eastAsia="仿宋_GB2312" w:cs="仿宋_GB2312"/>
          <w:i w:val="0"/>
          <w:iCs w:val="0"/>
          <w:caps w:val="0"/>
          <w:color w:val="auto"/>
          <w:spacing w:val="0"/>
          <w:sz w:val="32"/>
          <w:szCs w:val="32"/>
        </w:rPr>
        <w:t>行政复议</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提起</w:t>
      </w:r>
      <w:r>
        <w:rPr>
          <w:rFonts w:hint="eastAsia" w:ascii="仿宋_GB2312" w:hAnsi="仿宋_GB2312" w:eastAsia="仿宋_GB2312" w:cs="仿宋_GB2312"/>
          <w:i w:val="0"/>
          <w:iCs w:val="0"/>
          <w:caps w:val="0"/>
          <w:color w:val="auto"/>
          <w:spacing w:val="0"/>
          <w:sz w:val="32"/>
          <w:szCs w:val="32"/>
        </w:rPr>
        <w:t>行政诉讼</w:t>
      </w:r>
      <w:r>
        <w:rPr>
          <w:rFonts w:hint="eastAsia" w:ascii="仿宋_GB2312" w:hAnsi="仿宋_GB2312" w:eastAsia="仿宋_GB2312" w:cs="仿宋_GB2312"/>
          <w:i w:val="0"/>
          <w:iCs w:val="0"/>
          <w:caps w:val="0"/>
          <w:color w:val="auto"/>
          <w:spacing w:val="0"/>
          <w:sz w:val="32"/>
          <w:szCs w:val="32"/>
          <w:lang w:eastAsia="zh-CN"/>
        </w:rPr>
        <w:t>的</w:t>
      </w:r>
      <w:r>
        <w:rPr>
          <w:rFonts w:hint="eastAsia" w:ascii="仿宋_GB2312" w:hAnsi="仿宋_GB2312" w:eastAsia="仿宋_GB2312" w:cs="仿宋_GB2312"/>
          <w:i w:val="0"/>
          <w:iCs w:val="0"/>
          <w:caps w:val="0"/>
          <w:color w:val="auto"/>
          <w:spacing w:val="0"/>
          <w:sz w:val="32"/>
          <w:szCs w:val="32"/>
        </w:rPr>
        <w:t>情况、</w:t>
      </w:r>
      <w:r>
        <w:rPr>
          <w:rFonts w:hint="eastAsia" w:ascii="仿宋_GB2312" w:hAnsi="仿宋_GB2312" w:eastAsia="仿宋_GB2312" w:cs="仿宋_GB2312"/>
          <w:i w:val="0"/>
          <w:iCs w:val="0"/>
          <w:caps w:val="0"/>
          <w:color w:val="auto"/>
          <w:spacing w:val="0"/>
          <w:sz w:val="32"/>
          <w:szCs w:val="32"/>
          <w:lang w:val="en-US" w:eastAsia="zh-CN"/>
        </w:rPr>
        <w:t>政府信息公开工作</w:t>
      </w:r>
      <w:r>
        <w:rPr>
          <w:rFonts w:hint="eastAsia" w:ascii="仿宋_GB2312" w:hAnsi="仿宋_GB2312" w:eastAsia="仿宋_GB2312" w:cs="仿宋_GB2312"/>
          <w:i w:val="0"/>
          <w:iCs w:val="0"/>
          <w:caps w:val="0"/>
          <w:color w:val="auto"/>
          <w:spacing w:val="0"/>
          <w:sz w:val="32"/>
          <w:szCs w:val="32"/>
        </w:rPr>
        <w:t>存在的主要问题及改进情况、其他需要报告的事项等六个部分。本年度报告中所列数据统计期限从202</w:t>
      </w: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rPr>
        <w:t>年1月1日到202</w:t>
      </w: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rPr>
        <w:t>年12月31日。</w:t>
      </w:r>
      <w:r>
        <w:rPr>
          <w:rFonts w:hint="eastAsia" w:ascii="仿宋_GB2312" w:hAnsi="仿宋_GB2312" w:eastAsia="仿宋_GB2312" w:cs="仿宋_GB2312"/>
          <w:sz w:val="32"/>
          <w:szCs w:val="32"/>
        </w:rPr>
        <w:t>本报告全文将在枣庄高新区官网（http://www.zzctp.gov.cn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“政府信息公开年度报告”专栏公布。如对本报告有疑问，请与枣庄高新</w:t>
      </w:r>
      <w:r>
        <w:rPr>
          <w:rFonts w:hint="eastAsia" w:ascii="仿宋_GB2312" w:hAnsi="仿宋_GB2312" w:eastAsia="仿宋_GB2312" w:cs="仿宋_GB2312"/>
          <w:sz w:val="32"/>
          <w:szCs w:val="32"/>
          <w:lang w:val="en-US" w:eastAsia="zh-CN"/>
        </w:rPr>
        <w:t>建设集团有限公司</w:t>
      </w:r>
      <w:r>
        <w:rPr>
          <w:rFonts w:hint="eastAsia" w:ascii="仿宋_GB2312" w:hAnsi="仿宋_GB2312" w:eastAsia="仿宋_GB2312" w:cs="仿宋_GB2312"/>
          <w:sz w:val="32"/>
          <w:szCs w:val="32"/>
        </w:rPr>
        <w:t>办公室联系（联系电话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0632-</w:t>
      </w:r>
      <w:r>
        <w:rPr>
          <w:rFonts w:hint="eastAsia" w:ascii="仿宋_GB2312" w:hAnsi="仿宋_GB2312" w:eastAsia="仿宋_GB2312" w:cs="仿宋_GB2312"/>
          <w:sz w:val="32"/>
          <w:szCs w:val="32"/>
          <w:lang w:val="en-US" w:eastAsia="zh-CN"/>
        </w:rPr>
        <w:t>7689899</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gxq</w:t>
      </w:r>
      <w:r>
        <w:rPr>
          <w:rFonts w:hint="eastAsia" w:ascii="仿宋_GB2312" w:hAnsi="仿宋_GB2312" w:eastAsia="仿宋_GB2312" w:cs="仿宋_GB2312"/>
          <w:sz w:val="32"/>
          <w:szCs w:val="32"/>
          <w:lang w:val="en-US" w:eastAsia="zh-CN"/>
        </w:rPr>
        <w:t>jsjt</w:t>
      </w:r>
      <w:r>
        <w:rPr>
          <w:rFonts w:hint="eastAsia" w:ascii="仿宋_GB2312" w:hAnsi="仿宋_GB2312" w:eastAsia="仿宋_GB2312" w:cs="仿宋_GB2312"/>
          <w:sz w:val="32"/>
          <w:szCs w:val="32"/>
        </w:rPr>
        <w:t>@163.com）。</w:t>
      </w:r>
    </w:p>
    <w:p w14:paraId="57C7D0C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一、总体情况</w:t>
      </w:r>
    </w:p>
    <w:p w14:paraId="44003A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根据2024年度政府信息公开工作年度报告相关要求，</w:t>
      </w:r>
      <w:r>
        <w:rPr>
          <w:rFonts w:hint="eastAsia" w:ascii="仿宋_GB2312" w:hAnsi="仿宋_GB2312" w:eastAsia="仿宋_GB2312" w:cs="仿宋_GB2312"/>
          <w:color w:val="auto"/>
          <w:sz w:val="32"/>
          <w:szCs w:val="32"/>
          <w:lang w:val="en-US" w:eastAsia="zh-CN"/>
        </w:rPr>
        <w:t>枣庄高新建设集团有限公司</w:t>
      </w:r>
      <w:r>
        <w:rPr>
          <w:rFonts w:hint="eastAsia" w:ascii="仿宋_GB2312" w:hAnsi="仿宋_GB2312" w:eastAsia="仿宋_GB2312" w:cs="仿宋_GB2312"/>
          <w:i w:val="0"/>
          <w:iCs w:val="0"/>
          <w:caps w:val="0"/>
          <w:color w:val="auto"/>
          <w:spacing w:val="0"/>
          <w:sz w:val="32"/>
          <w:szCs w:val="32"/>
          <w:shd w:val="clear" w:fill="FFFFFF"/>
        </w:rPr>
        <w:t>深入贯彻落实</w:t>
      </w:r>
      <w:r>
        <w:rPr>
          <w:rFonts w:hint="eastAsia" w:ascii="仿宋_GB2312" w:hAnsi="仿宋_GB2312" w:eastAsia="仿宋_GB2312" w:cs="仿宋_GB2312"/>
          <w:color w:val="auto"/>
          <w:sz w:val="32"/>
          <w:szCs w:val="32"/>
          <w:lang w:val="en-US" w:eastAsia="zh-CN"/>
        </w:rPr>
        <w:t>省、市、区</w:t>
      </w:r>
      <w:r>
        <w:rPr>
          <w:rFonts w:hint="eastAsia" w:ascii="仿宋_GB2312" w:hAnsi="仿宋_GB2312" w:eastAsia="仿宋_GB2312" w:cs="仿宋_GB2312"/>
          <w:i w:val="0"/>
          <w:iCs w:val="0"/>
          <w:caps w:val="0"/>
          <w:color w:val="auto"/>
          <w:spacing w:val="0"/>
          <w:sz w:val="32"/>
          <w:szCs w:val="32"/>
          <w:shd w:val="clear" w:fill="FFFFFF"/>
        </w:rPr>
        <w:t>政府的决策部署，</w:t>
      </w:r>
      <w:r>
        <w:rPr>
          <w:rFonts w:hint="eastAsia" w:ascii="仿宋_GB2312" w:hAnsi="仿宋_GB2312" w:eastAsia="仿宋_GB2312" w:cs="仿宋_GB2312"/>
          <w:i w:val="0"/>
          <w:iCs w:val="0"/>
          <w:caps w:val="0"/>
          <w:color w:val="auto"/>
          <w:spacing w:val="0"/>
          <w:sz w:val="32"/>
          <w:szCs w:val="32"/>
          <w:shd w:val="clear" w:fill="FFFFFF"/>
          <w:lang w:eastAsia="zh-CN"/>
        </w:rPr>
        <w:t>按照</w:t>
      </w:r>
      <w:r>
        <w:rPr>
          <w:rFonts w:hint="eastAsia" w:ascii="仿宋_GB2312" w:hAnsi="仿宋_GB2312" w:eastAsia="仿宋_GB2312" w:cs="仿宋_GB2312"/>
          <w:i w:val="0"/>
          <w:iCs w:val="0"/>
          <w:caps w:val="0"/>
          <w:color w:val="auto"/>
          <w:spacing w:val="0"/>
          <w:sz w:val="32"/>
          <w:szCs w:val="32"/>
          <w:shd w:val="clear" w:fill="FFFFFF"/>
        </w:rPr>
        <w:t>“推进改革、公正公开、加强监督、便民高效”要求</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遵循公正、公平、合法、便民的原则，加强领导，规范程序，依法依规、及时准确公开相关政务信息，不断提升政府信息公开的工作效率和服务水平，推动政府信息公开工作走深走实，切实增强人民群众满意度、获得感。</w:t>
      </w:r>
    </w:p>
    <w:p w14:paraId="5E9B746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（一）主动公开</w:t>
      </w:r>
      <w:r>
        <w:rPr>
          <w:rFonts w:hint="eastAsia" w:ascii="楷体_GB2312" w:hAnsi="楷体_GB2312" w:eastAsia="楷体_GB2312" w:cs="楷体_GB2312"/>
          <w:b/>
          <w:bCs/>
          <w:sz w:val="32"/>
          <w:szCs w:val="32"/>
          <w:lang w:val="en-US" w:eastAsia="zh-CN"/>
        </w:rPr>
        <w:t>工作情况</w:t>
      </w:r>
    </w:p>
    <w:p w14:paraId="7CEC59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年主动公开政府信息</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通过政府门户网站公开政府信息</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其中部门信息24条，产业概况12条，重点项目建设情况12条，其他信息16条；通过高新区官方微信公众号</w:t>
      </w:r>
      <w:r>
        <w:rPr>
          <w:rFonts w:hint="eastAsia" w:ascii="仿宋_GB2312" w:hAnsi="仿宋_GB2312" w:eastAsia="仿宋_GB2312" w:cs="仿宋_GB2312"/>
          <w:sz w:val="32"/>
          <w:szCs w:val="32"/>
        </w:rPr>
        <w:t>公开各类信息</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处理互动交流1件，按时回复完成。</w:t>
      </w:r>
    </w:p>
    <w:p w14:paraId="48B402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drawing>
          <wp:inline distT="0" distB="0" distL="114300" distR="114300">
            <wp:extent cx="4800600" cy="26003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800600" cy="2600325"/>
                    </a:xfrm>
                    <a:prstGeom prst="rect">
                      <a:avLst/>
                    </a:prstGeom>
                    <a:noFill/>
                    <a:ln>
                      <a:noFill/>
                    </a:ln>
                  </pic:spPr>
                </pic:pic>
              </a:graphicData>
            </a:graphic>
          </wp:inline>
        </w:drawing>
      </w:r>
    </w:p>
    <w:p w14:paraId="2B231511">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4760595" cy="3201670"/>
            <wp:effectExtent l="0" t="0" r="1905" b="177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760595" cy="3201670"/>
                    </a:xfrm>
                    <a:prstGeom prst="rect">
                      <a:avLst/>
                    </a:prstGeom>
                    <a:noFill/>
                    <a:ln>
                      <a:noFill/>
                    </a:ln>
                  </pic:spPr>
                </pic:pic>
              </a:graphicData>
            </a:graphic>
          </wp:inline>
        </w:drawing>
      </w:r>
    </w:p>
    <w:p w14:paraId="0A3E35B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）依申请公开情况</w:t>
      </w:r>
    </w:p>
    <w:p w14:paraId="72071A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1、收到和处理政府信息公开申请情况</w:t>
      </w:r>
    </w:p>
    <w:p w14:paraId="5DC763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枣庄高新建设集团有限公司认真执行《中华人民共和国政府信息公开条例》，严格规范依申请公开办理流程，加强政府信息依申请公开事项办理标准化规范化建设。2024年</w:t>
      </w:r>
      <w:r>
        <w:rPr>
          <w:rFonts w:hint="eastAsia" w:ascii="仿宋_GB2312" w:hAnsi="仿宋_GB2312" w:eastAsia="仿宋_GB2312" w:cs="仿宋_GB2312"/>
          <w:sz w:val="32"/>
          <w:szCs w:val="32"/>
        </w:rPr>
        <w:t>未收到申请公开的情况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与2023年情况一致。</w:t>
      </w:r>
    </w:p>
    <w:p w14:paraId="57F86D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1F12AC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2、政府信息公开行政复议、行政诉讼情况</w:t>
      </w:r>
    </w:p>
    <w:p w14:paraId="4AE0CF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年没有针对政府信息公开事务的行政复议申请、申诉和行政诉讼案件以及被举报情况。 </w:t>
      </w:r>
    </w:p>
    <w:p w14:paraId="2A6E352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政府</w:t>
      </w:r>
      <w:r>
        <w:rPr>
          <w:rFonts w:hint="eastAsia" w:ascii="楷体_GB2312" w:hAnsi="楷体_GB2312" w:eastAsia="楷体_GB2312" w:cs="楷体_GB2312"/>
          <w:b/>
          <w:bCs/>
          <w:sz w:val="32"/>
          <w:szCs w:val="32"/>
        </w:rPr>
        <w:t>信息管理</w:t>
      </w:r>
    </w:p>
    <w:p w14:paraId="07D76E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由</w:t>
      </w:r>
      <w:r>
        <w:rPr>
          <w:rFonts w:hint="eastAsia" w:ascii="仿宋_GB2312" w:hAnsi="仿宋_GB2312" w:eastAsia="仿宋_GB2312" w:cs="仿宋_GB2312"/>
          <w:i w:val="0"/>
          <w:iCs w:val="0"/>
          <w:caps w:val="0"/>
          <w:color w:val="auto"/>
          <w:spacing w:val="0"/>
          <w:sz w:val="32"/>
          <w:szCs w:val="32"/>
          <w:shd w:val="clear" w:fill="FFFFFF"/>
          <w:lang w:val="en-US" w:eastAsia="zh-CN"/>
        </w:rPr>
        <w:t>集团相关</w:t>
      </w:r>
      <w:r>
        <w:rPr>
          <w:rFonts w:hint="eastAsia" w:ascii="仿宋_GB2312" w:hAnsi="仿宋_GB2312" w:eastAsia="仿宋_GB2312" w:cs="仿宋_GB2312"/>
          <w:i w:val="0"/>
          <w:iCs w:val="0"/>
          <w:caps w:val="0"/>
          <w:color w:val="auto"/>
          <w:spacing w:val="0"/>
          <w:sz w:val="32"/>
          <w:szCs w:val="32"/>
          <w:shd w:val="clear" w:fill="FFFFFF"/>
        </w:rPr>
        <w:t>领导牵头负责政务网站建设与发展，统筹规划并监督信息公开工作，同时安排专人管理信息平台，及时更新充实公开内容，做到准确且重点突出。随着政务公开工作的深入开展，</w:t>
      </w:r>
      <w:r>
        <w:rPr>
          <w:rFonts w:hint="eastAsia" w:ascii="仿宋_GB2312" w:hAnsi="仿宋_GB2312" w:eastAsia="仿宋_GB2312" w:cs="仿宋_GB2312"/>
          <w:i w:val="0"/>
          <w:iCs w:val="0"/>
          <w:caps w:val="0"/>
          <w:color w:val="auto"/>
          <w:spacing w:val="0"/>
          <w:sz w:val="32"/>
          <w:szCs w:val="32"/>
          <w:shd w:val="clear" w:fill="FFFFFF"/>
          <w:lang w:val="en-US" w:eastAsia="zh-CN"/>
        </w:rPr>
        <w:t>集团</w:t>
      </w:r>
      <w:r>
        <w:rPr>
          <w:rFonts w:hint="eastAsia" w:ascii="仿宋_GB2312" w:hAnsi="仿宋_GB2312" w:eastAsia="仿宋_GB2312" w:cs="仿宋_GB2312"/>
          <w:i w:val="0"/>
          <w:iCs w:val="0"/>
          <w:caps w:val="0"/>
          <w:color w:val="auto"/>
          <w:spacing w:val="0"/>
          <w:sz w:val="32"/>
          <w:szCs w:val="32"/>
          <w:shd w:val="clear" w:fill="FFFFFF"/>
        </w:rPr>
        <w:t>结合自身实际，不断完善工作制度，加强组织领导，压实工作责任，推动政务信息公开工作有序进行。</w:t>
      </w:r>
    </w:p>
    <w:p w14:paraId="16870BE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四）政府</w:t>
      </w:r>
      <w:r>
        <w:rPr>
          <w:rFonts w:hint="eastAsia" w:ascii="楷体_GB2312" w:hAnsi="楷体_GB2312" w:eastAsia="楷体_GB2312" w:cs="楷体_GB2312"/>
          <w:b/>
          <w:bCs/>
          <w:sz w:val="32"/>
          <w:szCs w:val="32"/>
        </w:rPr>
        <w:t>信息</w:t>
      </w:r>
      <w:r>
        <w:rPr>
          <w:rFonts w:hint="eastAsia" w:ascii="楷体_GB2312" w:hAnsi="楷体_GB2312" w:eastAsia="楷体_GB2312" w:cs="楷体_GB2312"/>
          <w:b/>
          <w:bCs/>
          <w:sz w:val="32"/>
          <w:szCs w:val="32"/>
          <w:lang w:val="en-US" w:eastAsia="zh-CN"/>
        </w:rPr>
        <w:t>公开</w:t>
      </w:r>
      <w:r>
        <w:rPr>
          <w:rFonts w:hint="eastAsia" w:ascii="楷体_GB2312" w:hAnsi="楷体_GB2312" w:eastAsia="楷体_GB2312" w:cs="楷体_GB2312"/>
          <w:b/>
          <w:bCs/>
          <w:sz w:val="32"/>
          <w:szCs w:val="32"/>
        </w:rPr>
        <w:t>平台建设</w:t>
      </w:r>
    </w:p>
    <w:p w14:paraId="72B43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依托政府网站和政务新媒体作为主要信息公开平台，优化栏目设置以提高时效性和权威性。积极推进平台建设，完善信息公开目录各栏目，</w:t>
      </w:r>
      <w:r>
        <w:rPr>
          <w:rFonts w:hint="eastAsia" w:ascii="仿宋_GB2312" w:hAnsi="仿宋_GB2312" w:eastAsia="仿宋_GB2312" w:cs="仿宋_GB2312"/>
          <w:i w:val="0"/>
          <w:iCs w:val="0"/>
          <w:caps w:val="0"/>
          <w:color w:val="auto"/>
          <w:spacing w:val="0"/>
          <w:sz w:val="32"/>
          <w:szCs w:val="32"/>
        </w:rPr>
        <w:t>及时做好信息的收集与公开，规范进行政务信息公开，确保网站栏目内容准确、发布规范、更新及时</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切实保障人民群众的知情权、参与权和监督权。</w:t>
      </w:r>
    </w:p>
    <w:p w14:paraId="36B1E5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）监督保障</w:t>
      </w:r>
    </w:p>
    <w:p w14:paraId="01177B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集团</w:t>
      </w:r>
      <w:r>
        <w:rPr>
          <w:rFonts w:hint="eastAsia" w:ascii="仿宋_GB2312" w:hAnsi="仿宋_GB2312" w:eastAsia="仿宋_GB2312" w:cs="仿宋_GB2312"/>
          <w:i w:val="0"/>
          <w:iCs w:val="0"/>
          <w:caps w:val="0"/>
          <w:color w:val="auto"/>
          <w:spacing w:val="0"/>
          <w:sz w:val="32"/>
          <w:szCs w:val="32"/>
        </w:rPr>
        <w:t>始终高度重视政务公开工作，明确</w:t>
      </w:r>
      <w:r>
        <w:rPr>
          <w:rFonts w:hint="eastAsia" w:ascii="仿宋_GB2312" w:hAnsi="仿宋_GB2312" w:eastAsia="仿宋_GB2312" w:cs="仿宋_GB2312"/>
          <w:i w:val="0"/>
          <w:iCs w:val="0"/>
          <w:caps w:val="0"/>
          <w:color w:val="auto"/>
          <w:spacing w:val="0"/>
          <w:sz w:val="32"/>
          <w:szCs w:val="32"/>
          <w:lang w:val="en-US" w:eastAsia="zh-CN"/>
        </w:rPr>
        <w:t>工作</w:t>
      </w:r>
      <w:r>
        <w:rPr>
          <w:rFonts w:hint="eastAsia" w:ascii="仿宋_GB2312" w:hAnsi="仿宋_GB2312" w:eastAsia="仿宋_GB2312" w:cs="仿宋_GB2312"/>
          <w:i w:val="0"/>
          <w:iCs w:val="0"/>
          <w:caps w:val="0"/>
          <w:color w:val="auto"/>
          <w:spacing w:val="0"/>
          <w:sz w:val="32"/>
          <w:szCs w:val="32"/>
        </w:rPr>
        <w:t>职责，形成“主要领导亲自抓，分管领导具体抓，专人负责抓落实”的工作机制，精心研究部署，定期开展</w:t>
      </w:r>
      <w:r>
        <w:rPr>
          <w:rFonts w:hint="eastAsia" w:ascii="仿宋_GB2312" w:hAnsi="仿宋_GB2312" w:eastAsia="仿宋_GB2312" w:cs="仿宋_GB2312"/>
          <w:i w:val="0"/>
          <w:iCs w:val="0"/>
          <w:caps w:val="0"/>
          <w:color w:val="auto"/>
          <w:spacing w:val="0"/>
          <w:sz w:val="32"/>
          <w:szCs w:val="32"/>
          <w:lang w:val="en-US" w:eastAsia="zh-CN"/>
        </w:rPr>
        <w:t>政务公开培训</w:t>
      </w:r>
      <w:r>
        <w:rPr>
          <w:rFonts w:hint="eastAsia" w:ascii="仿宋_GB2312" w:hAnsi="仿宋_GB2312" w:eastAsia="仿宋_GB2312" w:cs="仿宋_GB2312"/>
          <w:i w:val="0"/>
          <w:iCs w:val="0"/>
          <w:caps w:val="0"/>
          <w:color w:val="auto"/>
          <w:spacing w:val="0"/>
          <w:sz w:val="32"/>
          <w:szCs w:val="32"/>
        </w:rPr>
        <w:t>，有效保障政府信息公开工作落到实处。</w:t>
      </w:r>
    </w:p>
    <w:p w14:paraId="1FC43A8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二、主动公开政府信息情况</w:t>
      </w:r>
    </w:p>
    <w:tbl>
      <w:tblPr>
        <w:tblStyle w:val="6"/>
        <w:tblW w:w="8824" w:type="dxa"/>
        <w:jc w:val="center"/>
        <w:tblLayout w:type="fixed"/>
        <w:tblCellMar>
          <w:top w:w="0" w:type="dxa"/>
          <w:left w:w="108" w:type="dxa"/>
          <w:bottom w:w="0" w:type="dxa"/>
          <w:right w:w="108" w:type="dxa"/>
        </w:tblCellMar>
      </w:tblPr>
      <w:tblGrid>
        <w:gridCol w:w="2206"/>
        <w:gridCol w:w="2206"/>
        <w:gridCol w:w="2206"/>
        <w:gridCol w:w="2206"/>
      </w:tblGrid>
      <w:tr w14:paraId="7D52AE43">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135087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2C95A5D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5F841F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374A26F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11EF904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3804FF6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12C2DD1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1FE58F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F60F75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B9CB4E3">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2E87B30">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7568E82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7A62ED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41693BD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E6EF10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C63AE44">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B15D5C4">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0787D3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5CCA7E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BAD3D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E4D061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D01711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A8644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07358BB">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83E7FF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43F0DE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11556F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9DFDCB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93DB54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7CA894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0432C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2AA5D5C">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6BD0A07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78077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85DC7B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EDFA97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58529E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05E7FB2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8584EE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C1ED56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B553C9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48F0E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CCCC28">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00567A5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448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C77FE81">
            <w:pPr>
              <w:widowControl/>
              <w:jc w:val="center"/>
              <w:rPr>
                <w:rFonts w:ascii="楷体_GB2312" w:hAnsi="黑体" w:eastAsia="楷体_GB2312"/>
                <w:kern w:val="0"/>
                <w:szCs w:val="21"/>
              </w:rPr>
            </w:pPr>
            <w:r>
              <w:rPr>
                <w:rFonts w:hint="eastAsia" w:ascii="楷体_GB2312" w:hAnsi="黑体" w:eastAsia="楷体_GB2312"/>
                <w:kern w:val="0"/>
                <w:szCs w:val="21"/>
              </w:rPr>
              <w:t>（本列数据的</w:t>
            </w:r>
            <w:r>
              <w:rPr>
                <w:rFonts w:hint="eastAsia" w:ascii="楷体_GB2312" w:hAnsi="黑体" w:eastAsia="楷体_GB2312"/>
                <w:kern w:val="0"/>
                <w:szCs w:val="21"/>
                <w:lang w:eastAsia="zh-CN"/>
              </w:rPr>
              <w:t>钩稽</w:t>
            </w:r>
            <w:r>
              <w:rPr>
                <w:rFonts w:hint="eastAsia" w:ascii="楷体_GB2312" w:hAnsi="黑体" w:eastAsia="楷体_GB2312"/>
                <w:kern w:val="0"/>
                <w:szCs w:val="21"/>
              </w:rPr>
              <w:t>关系为：第一项加第二项之和，</w:t>
            </w:r>
          </w:p>
          <w:p w14:paraId="7BD4CB92">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4C958A5C">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717C9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509CDD4E">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185C16B1">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0E33266">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5B506C0B">
            <w:pPr>
              <w:widowControl/>
              <w:jc w:val="center"/>
              <w:rPr>
                <w:rFonts w:ascii="黑体" w:hAnsi="黑体" w:eastAsia="黑体"/>
                <w:szCs w:val="21"/>
              </w:rPr>
            </w:pPr>
            <w:r>
              <w:rPr>
                <w:rFonts w:hint="eastAsia" w:ascii="黑体" w:hAnsi="黑体" w:eastAsia="黑体"/>
                <w:kern w:val="0"/>
                <w:szCs w:val="21"/>
              </w:rPr>
              <w:t>总计</w:t>
            </w:r>
          </w:p>
        </w:tc>
      </w:tr>
      <w:tr w14:paraId="6063B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40580715">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45887B9F">
            <w:pPr>
              <w:jc w:val="center"/>
              <w:rPr>
                <w:rFonts w:ascii="黑体" w:hAnsi="黑体" w:eastAsia="黑体"/>
                <w:szCs w:val="21"/>
              </w:rPr>
            </w:pPr>
          </w:p>
        </w:tc>
        <w:tc>
          <w:tcPr>
            <w:tcW w:w="567" w:type="dxa"/>
            <w:shd w:val="clear" w:color="auto" w:fill="auto"/>
            <w:tcMar>
              <w:left w:w="108" w:type="dxa"/>
              <w:right w:w="108" w:type="dxa"/>
            </w:tcMar>
            <w:vAlign w:val="center"/>
          </w:tcPr>
          <w:p w14:paraId="4AB75616">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48D1FBE0">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39C77EEC">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1634544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6EE94CA1">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291CFC0E">
            <w:pPr>
              <w:jc w:val="center"/>
              <w:rPr>
                <w:rFonts w:ascii="仿宋_GB2312" w:hAnsi="Times New Roman" w:eastAsia="仿宋_GB2312"/>
                <w:szCs w:val="21"/>
              </w:rPr>
            </w:pPr>
          </w:p>
        </w:tc>
      </w:tr>
      <w:tr w14:paraId="26CE0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D20D213">
            <w:pPr>
              <w:widowControl/>
              <w:jc w:val="center"/>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22AC906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2BC4D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B6E691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1C984D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366FE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810C1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6AC79F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C95C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C44AA6F">
            <w:pPr>
              <w:widowControl/>
              <w:jc w:val="center"/>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D2AFA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BF93D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911BFD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01E617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09CD4E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4DAD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35F58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DA52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6AA18E35">
            <w:pPr>
              <w:widowControl/>
              <w:spacing w:after="180"/>
              <w:jc w:val="center"/>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78A0DB95">
            <w:pPr>
              <w:widowControl/>
              <w:jc w:val="center"/>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72A4F56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234BB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6F91F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679C1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AD169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ABA8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89C5A4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7BF6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15385E9">
            <w:pPr>
              <w:jc w:val="center"/>
              <w:rPr>
                <w:rFonts w:ascii="黑体" w:hAnsi="黑体" w:eastAsia="黑体"/>
                <w:szCs w:val="21"/>
              </w:rPr>
            </w:pPr>
          </w:p>
        </w:tc>
        <w:tc>
          <w:tcPr>
            <w:tcW w:w="4677" w:type="dxa"/>
            <w:gridSpan w:val="2"/>
            <w:shd w:val="clear" w:color="auto" w:fill="auto"/>
            <w:tcMar>
              <w:left w:w="108" w:type="dxa"/>
              <w:right w:w="108" w:type="dxa"/>
            </w:tcMar>
            <w:vAlign w:val="center"/>
          </w:tcPr>
          <w:p w14:paraId="1C018260">
            <w:pPr>
              <w:widowControl/>
              <w:jc w:val="center"/>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3434E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4A172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0F422F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FA7080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385146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13F09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35F938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0AFB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999A956">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3552E86E">
            <w:pPr>
              <w:widowControl/>
              <w:spacing w:line="200" w:lineRule="exact"/>
              <w:ind w:left="-107" w:leftChars="-51"/>
              <w:jc w:val="center"/>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24811B43">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738384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BB783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3EB87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CCD919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B6D06B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91C79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056B3D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0FC2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32D54B6">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2BF739F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4842351E">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1C317C6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B0109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C47C74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905896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C8265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50C63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8B4F4B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F9C8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65B0A5F">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2670F88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0F465358">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69CCB5A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8252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A3973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04829C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8A554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8BBC3C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879FB8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FF9C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716EAD">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6058C0DD">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10B2FDF8">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9B41F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3A450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765D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8483E4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2D6634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D6A15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FDF4A4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AC0E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DD404">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339AD0B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02DE652A">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5D6B49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01D29D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9F1D61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3842B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0C6714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AA944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0F1279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21E8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14F3A69">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7BA3A9A">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66D15D00">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25F66F1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22EE3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F99E9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8DCFBF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D588F7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A23AB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C8425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0A6F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8F1585">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3055F236">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15384844">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11ACC82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78962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92E180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8FDE8E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F55585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896B55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516F4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92DE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1D1018">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7337A394">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630EDB34">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1814DB3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F941E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25630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03A73F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F5DC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CC8E9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A064A8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C525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5C99ABD">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52A77A96">
            <w:pPr>
              <w:widowControl/>
              <w:spacing w:line="200" w:lineRule="exact"/>
              <w:ind w:left="-107" w:leftChars="-51"/>
              <w:jc w:val="center"/>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51EC9A63">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3616D9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7A6C2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144A00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EE67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B5C85C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7B984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F769E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94CB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984D2B4">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53A1A04F">
            <w:pPr>
              <w:spacing w:line="200" w:lineRule="exact"/>
              <w:ind w:left="-107" w:leftChars="-51"/>
              <w:jc w:val="center"/>
              <w:rPr>
                <w:rFonts w:ascii="黑体" w:hAnsi="黑体" w:eastAsia="黑体"/>
                <w:szCs w:val="21"/>
              </w:rPr>
            </w:pPr>
          </w:p>
        </w:tc>
        <w:tc>
          <w:tcPr>
            <w:tcW w:w="2976" w:type="dxa"/>
            <w:shd w:val="clear" w:color="auto" w:fill="auto"/>
            <w:tcMar>
              <w:left w:w="108" w:type="dxa"/>
              <w:right w:w="108" w:type="dxa"/>
            </w:tcMar>
            <w:vAlign w:val="center"/>
          </w:tcPr>
          <w:p w14:paraId="013A0ED1">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0C06694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6BCFA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2026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5653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6D1797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25DBE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ECFE42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A45B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9F9833">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349BC3C">
            <w:pPr>
              <w:spacing w:line="200" w:lineRule="exact"/>
              <w:ind w:left="-107" w:leftChars="-51"/>
              <w:jc w:val="center"/>
              <w:rPr>
                <w:rFonts w:ascii="黑体" w:hAnsi="黑体" w:eastAsia="黑体"/>
                <w:szCs w:val="21"/>
              </w:rPr>
            </w:pPr>
          </w:p>
        </w:tc>
        <w:tc>
          <w:tcPr>
            <w:tcW w:w="2976" w:type="dxa"/>
            <w:shd w:val="clear" w:color="auto" w:fill="auto"/>
            <w:tcMar>
              <w:left w:w="108" w:type="dxa"/>
              <w:right w:w="108" w:type="dxa"/>
            </w:tcMar>
            <w:vAlign w:val="center"/>
          </w:tcPr>
          <w:p w14:paraId="62B4C9C6">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115FD83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14FF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E8BA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65B911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085E0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7276C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E75E58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9C37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BD754BF">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17D5052C">
            <w:pPr>
              <w:widowControl/>
              <w:spacing w:line="200" w:lineRule="exact"/>
              <w:ind w:left="-107" w:leftChars="-51"/>
              <w:jc w:val="center"/>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6C1409E7">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5E4225A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EA045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CD43A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A9CDDA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EDA2CF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8A04CF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6FAF1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6DB51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B2A0AD2">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790E200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47056343">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371AACE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EC3A9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6564B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0023FF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148950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0EF0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930429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9EC5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91D6A5C">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268E6F04">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6F8D0FFB">
            <w:pPr>
              <w:widowControl/>
              <w:spacing w:line="200" w:lineRule="exact"/>
              <w:jc w:val="center"/>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6B510D9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A430A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49606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77C48F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7D6ED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36833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6A03E7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5259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47EE4697">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02C996C5">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4D1CBD17">
            <w:pPr>
              <w:widowControl/>
              <w:spacing w:line="200" w:lineRule="exact"/>
              <w:jc w:val="center"/>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46224F9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47BF1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52F1F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BDAD97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80ADE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3FF90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233B7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33E3E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A8ABB15">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FE73C89">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2643D557">
            <w:pPr>
              <w:widowControl/>
              <w:spacing w:line="300" w:lineRule="exact"/>
              <w:jc w:val="center"/>
              <w:rPr>
                <w:rFonts w:ascii="仿宋_GB2312" w:hAnsi="黑体" w:eastAsia="仿宋_GB2312"/>
                <w:kern w:val="0"/>
                <w:szCs w:val="21"/>
              </w:rPr>
            </w:pPr>
            <w:r>
              <w:rPr>
                <w:rFonts w:hint="eastAsia" w:ascii="仿宋_GB2312" w:hAnsi="黑体" w:eastAsia="仿宋_GB2312"/>
                <w:kern w:val="0"/>
                <w:szCs w:val="21"/>
              </w:rPr>
              <w:t>5.要求行政机关确认或重新</w:t>
            </w:r>
          </w:p>
          <w:p w14:paraId="709DC5CF">
            <w:pPr>
              <w:widowControl/>
              <w:spacing w:line="300" w:lineRule="exact"/>
              <w:ind w:firstLine="210" w:firstLineChars="100"/>
              <w:jc w:val="center"/>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767BBB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6C6CF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03453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37EA26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4EB927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F7708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E01857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A6DA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650EDAC">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1F2ED9A5">
            <w:pPr>
              <w:widowControl/>
              <w:spacing w:line="300" w:lineRule="exact"/>
              <w:jc w:val="center"/>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B20A7CC">
            <w:pPr>
              <w:widowControl/>
              <w:spacing w:line="300" w:lineRule="exact"/>
              <w:jc w:val="center"/>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A1D4CC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3770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F8E13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463750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EC63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8DE05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2F879D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89EF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C17E873">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03AD108C">
            <w:pPr>
              <w:widowControl/>
              <w:spacing w:line="300" w:lineRule="exact"/>
              <w:jc w:val="center"/>
              <w:rPr>
                <w:rFonts w:ascii="黑体" w:hAnsi="黑体" w:eastAsia="黑体"/>
                <w:kern w:val="0"/>
                <w:szCs w:val="21"/>
              </w:rPr>
            </w:pPr>
          </w:p>
        </w:tc>
        <w:tc>
          <w:tcPr>
            <w:tcW w:w="2976" w:type="dxa"/>
            <w:shd w:val="clear" w:color="auto" w:fill="auto"/>
            <w:vAlign w:val="center"/>
          </w:tcPr>
          <w:p w14:paraId="32BF1C79">
            <w:pPr>
              <w:widowControl/>
              <w:spacing w:line="300" w:lineRule="exact"/>
              <w:jc w:val="center"/>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737FA4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D816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48B20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157EC1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0BD6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F347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5DE509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C9B1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5EECE3F">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C254E8D">
            <w:pPr>
              <w:widowControl/>
              <w:spacing w:line="300" w:lineRule="exact"/>
              <w:jc w:val="center"/>
              <w:rPr>
                <w:rFonts w:ascii="黑体" w:hAnsi="黑体" w:eastAsia="黑体"/>
                <w:kern w:val="0"/>
                <w:szCs w:val="21"/>
              </w:rPr>
            </w:pPr>
          </w:p>
        </w:tc>
        <w:tc>
          <w:tcPr>
            <w:tcW w:w="2976" w:type="dxa"/>
            <w:shd w:val="clear" w:color="auto" w:fill="auto"/>
            <w:vAlign w:val="center"/>
          </w:tcPr>
          <w:p w14:paraId="53038462">
            <w:pPr>
              <w:widowControl/>
              <w:spacing w:line="300" w:lineRule="exact"/>
              <w:jc w:val="center"/>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6CE94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284F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92CD7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2AAEE8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2E1D7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4636B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1DC9D8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4A78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BED94C6">
            <w:pPr>
              <w:jc w:val="center"/>
              <w:rPr>
                <w:rFonts w:ascii="黑体" w:hAnsi="黑体" w:eastAsia="黑体"/>
                <w:szCs w:val="21"/>
              </w:rPr>
            </w:pPr>
          </w:p>
        </w:tc>
        <w:tc>
          <w:tcPr>
            <w:tcW w:w="4677" w:type="dxa"/>
            <w:gridSpan w:val="2"/>
            <w:shd w:val="clear" w:color="auto" w:fill="auto"/>
            <w:tcMar>
              <w:left w:w="108" w:type="dxa"/>
              <w:right w:w="108" w:type="dxa"/>
            </w:tcMar>
            <w:vAlign w:val="center"/>
          </w:tcPr>
          <w:p w14:paraId="106DE95A">
            <w:pPr>
              <w:widowControl/>
              <w:spacing w:line="300" w:lineRule="exact"/>
              <w:jc w:val="center"/>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EBFD1A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BD939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C994B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AD8750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0ADFE2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6A398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40973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CD75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FBDF581">
            <w:pPr>
              <w:widowControl/>
              <w:spacing w:line="300" w:lineRule="exact"/>
              <w:jc w:val="center"/>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4FA56A1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1A5DF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2431C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B65CD2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6A135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D4A37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CE9F82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046D12A0">
      <w:pPr>
        <w:ind w:firstLine="640" w:firstLineChars="200"/>
        <w:jc w:val="both"/>
        <w:rPr>
          <w:rFonts w:hint="eastAsia" w:ascii="黑体" w:hAnsi="黑体" w:eastAsia="黑体" w:cs="黑体"/>
          <w:b/>
          <w:bCs/>
          <w:sz w:val="32"/>
          <w:szCs w:val="32"/>
        </w:rPr>
      </w:pPr>
      <w:bookmarkStart w:id="10" w:name="_GoBack"/>
      <w:bookmarkEnd w:id="10"/>
      <w:r>
        <w:rPr>
          <w:rFonts w:hint="eastAsia" w:ascii="黑体" w:hAnsi="黑体" w:eastAsia="黑体" w:cs="黑体"/>
          <w:sz w:val="32"/>
          <w:szCs w:val="32"/>
          <w:lang w:val="en-US" w:eastAsia="zh-CN"/>
        </w:rPr>
        <w:t>四、</w:t>
      </w:r>
      <w:r>
        <w:rPr>
          <w:rFonts w:hint="eastAsia" w:ascii="黑体" w:hAnsi="黑体" w:eastAsia="黑体" w:cs="黑体"/>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9162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A7EB9C">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42BA98">
            <w:pPr>
              <w:widowControl/>
              <w:jc w:val="center"/>
              <w:rPr>
                <w:rFonts w:ascii="黑体" w:hAnsi="黑体" w:eastAsia="黑体"/>
              </w:rPr>
            </w:pPr>
            <w:r>
              <w:rPr>
                <w:rFonts w:ascii="黑体" w:hAnsi="黑体" w:eastAsia="黑体"/>
                <w:kern w:val="0"/>
                <w:sz w:val="20"/>
                <w:szCs w:val="20"/>
              </w:rPr>
              <w:t>行政诉讼</w:t>
            </w:r>
          </w:p>
        </w:tc>
      </w:tr>
      <w:tr w14:paraId="1852CA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78728A">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18574EC1">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A74494F">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7009C7">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5B7D40">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6BFBF722">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DA6A00">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4BB4DEF3">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6D2805">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D7EF2D">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67DCE0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82C0C3">
            <w:pPr>
              <w:jc w:val="cente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717CACF">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BC6095">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3C8B63">
            <w:pPr>
              <w:jc w:val="cente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8A158A">
            <w:pPr>
              <w:jc w:val="cente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AF8AA36">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F60C1C8">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105DD">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1A1BF9A0">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C40FD6">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480EA0D0">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6B6C30">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8D8A75">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6B6B71">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BD04D64">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C60DC1">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B3BC54B">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50E468">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EA57D3">
            <w:pPr>
              <w:widowControl/>
              <w:jc w:val="center"/>
              <w:rPr>
                <w:rFonts w:ascii="黑体" w:hAnsi="黑体" w:eastAsia="黑体"/>
              </w:rPr>
            </w:pPr>
            <w:r>
              <w:rPr>
                <w:rFonts w:ascii="黑体" w:hAnsi="黑体" w:eastAsia="黑体"/>
                <w:kern w:val="0"/>
                <w:sz w:val="20"/>
                <w:szCs w:val="20"/>
              </w:rPr>
              <w:t>总计</w:t>
            </w:r>
          </w:p>
        </w:tc>
      </w:tr>
      <w:tr w14:paraId="17744A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94782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661E93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FBDAF52">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0D2BC5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F744CE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97AAC6F">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62DED5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CC33BB0">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D58758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AC54B7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48E53D3">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AA9FEE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C8725A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F9FB6C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C1BFB3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345E356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w:t>
      </w:r>
      <w:r>
        <w:rPr>
          <w:rFonts w:hint="eastAsia" w:ascii="黑体" w:hAnsi="黑体" w:eastAsia="黑体" w:cs="黑体"/>
          <w:b/>
          <w:bCs/>
          <w:sz w:val="32"/>
          <w:szCs w:val="32"/>
          <w:lang w:val="en-US" w:eastAsia="zh-CN"/>
        </w:rPr>
        <w:t>政府信息公开工作</w:t>
      </w:r>
      <w:r>
        <w:rPr>
          <w:rFonts w:hint="eastAsia" w:ascii="黑体" w:hAnsi="黑体" w:eastAsia="黑体" w:cs="黑体"/>
          <w:b/>
          <w:bCs/>
          <w:sz w:val="32"/>
          <w:szCs w:val="32"/>
        </w:rPr>
        <w:t>存在的主要问题及改进情况</w:t>
      </w:r>
    </w:p>
    <w:p w14:paraId="212DEE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（一）存在的主要问题。</w:t>
      </w:r>
      <w:r>
        <w:rPr>
          <w:rFonts w:hint="eastAsia" w:ascii="仿宋_GB2312" w:hAnsi="仿宋_GB2312" w:eastAsia="仿宋_GB2312" w:cs="仿宋_GB2312"/>
          <w:i w:val="0"/>
          <w:iCs w:val="0"/>
          <w:caps w:val="0"/>
          <w:color w:val="auto"/>
          <w:spacing w:val="0"/>
          <w:sz w:val="32"/>
          <w:szCs w:val="32"/>
        </w:rPr>
        <w:t>一是</w:t>
      </w:r>
      <w:r>
        <w:rPr>
          <w:rFonts w:hint="eastAsia" w:ascii="仿宋_GB2312" w:hAnsi="仿宋_GB2312" w:eastAsia="仿宋_GB2312" w:cs="仿宋_GB2312"/>
          <w:i w:val="0"/>
          <w:iCs w:val="0"/>
          <w:caps w:val="0"/>
          <w:color w:val="auto"/>
          <w:spacing w:val="0"/>
          <w:sz w:val="32"/>
          <w:szCs w:val="32"/>
          <w:lang w:val="en-US" w:eastAsia="zh-CN"/>
        </w:rPr>
        <w:t>部分人员</w:t>
      </w:r>
      <w:r>
        <w:rPr>
          <w:rFonts w:hint="eastAsia" w:ascii="仿宋_GB2312" w:hAnsi="仿宋_GB2312" w:eastAsia="仿宋_GB2312" w:cs="仿宋_GB2312"/>
          <w:i w:val="0"/>
          <w:iCs w:val="0"/>
          <w:caps w:val="0"/>
          <w:color w:val="auto"/>
          <w:spacing w:val="0"/>
          <w:sz w:val="32"/>
          <w:szCs w:val="32"/>
        </w:rPr>
        <w:t>对政务公开工作重视不够，致使公开内容存在不全面、不及时的问题。二是重点领域信息公开深度不足，</w:t>
      </w:r>
      <w:r>
        <w:rPr>
          <w:rFonts w:hint="eastAsia" w:ascii="仿宋_GB2312" w:hAnsi="仿宋_GB2312" w:eastAsia="仿宋_GB2312" w:cs="仿宋_GB2312"/>
          <w:color w:val="auto"/>
          <w:sz w:val="32"/>
          <w:szCs w:val="32"/>
        </w:rPr>
        <w:t>部门信息公开范围不够全面，公开的信息质量不高。</w:t>
      </w:r>
    </w:p>
    <w:p w14:paraId="7082B1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（二）改进措施。一是学习政务公开工作要求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进一步转变理念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加强领导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提高认识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全面推进政务公开工作。二是完善政府信息公开的法律法规，明确政府信息公开的范围和标准，规范政府信息公开的流程。三是</w:t>
      </w:r>
      <w:r>
        <w:rPr>
          <w:rFonts w:hint="eastAsia" w:ascii="仿宋_GB2312" w:hAnsi="仿宋_GB2312" w:eastAsia="仿宋_GB2312" w:cs="仿宋_GB2312"/>
          <w:i w:val="0"/>
          <w:iCs w:val="0"/>
          <w:caps w:val="0"/>
          <w:color w:val="auto"/>
          <w:spacing w:val="0"/>
          <w:sz w:val="32"/>
          <w:szCs w:val="32"/>
        </w:rPr>
        <w:t>压实工作责任</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color w:val="auto"/>
          <w:sz w:val="32"/>
          <w:szCs w:val="32"/>
        </w:rPr>
        <w:t>强化工作落实情况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进一步提升信息公开实效。</w:t>
      </w:r>
    </w:p>
    <w:p w14:paraId="5486078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六、其他需要报告的事项</w:t>
      </w:r>
    </w:p>
    <w:p w14:paraId="1CDD67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1.本年度政府信息公开申请未达到《政府信息公开信息处理费管理办法》（国办函〔2020〕109号）所规定的信息处理费收费标准，故未收取信息处理费。</w:t>
      </w:r>
    </w:p>
    <w:p w14:paraId="530C08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人大代表建议和政协提案办理结果公开情况。2024年全年接到市人大常委会交办的人大代表建议办理工作0件，收到市政协十一届三次会议提案0件。</w:t>
      </w:r>
    </w:p>
    <w:p w14:paraId="509808B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年度政务公开工作创新情况。</w:t>
      </w:r>
      <w:r>
        <w:rPr>
          <w:rFonts w:hint="default"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lang w:val="en-US" w:eastAsia="zh-CN"/>
        </w:rPr>
        <w:t>政务公开</w:t>
      </w:r>
      <w:r>
        <w:rPr>
          <w:rFonts w:hint="default" w:ascii="仿宋_GB2312" w:hAnsi="仿宋_GB2312" w:eastAsia="仿宋_GB2312" w:cs="仿宋_GB2312"/>
          <w:sz w:val="32"/>
          <w:szCs w:val="32"/>
          <w:lang w:val="en-US" w:eastAsia="zh-CN"/>
        </w:rPr>
        <w:t>透明度</w:t>
      </w:r>
      <w:r>
        <w:rPr>
          <w:rFonts w:hint="eastAsia" w:ascii="仿宋_GB2312" w:hAnsi="仿宋_GB2312" w:eastAsia="仿宋_GB2312" w:cs="仿宋_GB2312"/>
          <w:sz w:val="32"/>
          <w:szCs w:val="32"/>
          <w:lang w:val="en-US" w:eastAsia="zh-CN"/>
        </w:rPr>
        <w:t>，推动“政府开放日”活动高质量开展，</w:t>
      </w:r>
      <w:r>
        <w:rPr>
          <w:rFonts w:hint="default" w:ascii="仿宋_GB2312" w:hAnsi="仿宋_GB2312" w:eastAsia="仿宋_GB2312" w:cs="仿宋_GB2312"/>
          <w:sz w:val="32"/>
          <w:szCs w:val="32"/>
          <w:lang w:val="en-US" w:eastAsia="zh-CN"/>
        </w:rPr>
        <w:t>进一步密切政府与企业</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群众的沟通联系</w:t>
      </w:r>
      <w:r>
        <w:rPr>
          <w:rFonts w:hint="eastAsia" w:ascii="仿宋_GB2312" w:hAnsi="仿宋_GB2312" w:eastAsia="仿宋_GB2312" w:cs="仿宋_GB2312"/>
          <w:sz w:val="32"/>
          <w:szCs w:val="32"/>
          <w:lang w:val="en-US" w:eastAsia="zh-CN"/>
        </w:rPr>
        <w:t>。信息发布采用图文并茂和语音播报形式，提升信息阅读的点播量和趣味性。</w:t>
      </w:r>
    </w:p>
    <w:p w14:paraId="1D78D4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政府信息公开工作年度报告数据统计需要说明的事项。本报告中所列数据的统计时限为202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w:t>
      </w:r>
    </w:p>
    <w:p w14:paraId="030BA9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认为需要报告的其他事项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w:t>
      </w:r>
    </w:p>
    <w:p w14:paraId="2A34D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6.其他有关文件专门要求通过政府信息公开工作年度报告予以报告的事项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w:t>
      </w:r>
    </w:p>
    <w:sectPr>
      <w:footerReference r:id="rId3" w:type="default"/>
      <w:pgSz w:w="11906" w:h="16838"/>
      <w:pgMar w:top="2098" w:right="1361"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536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2E0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72E0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MWY2NDUxYzkzMzRkMWFiYmEzZDUxMjk4NzAwNDYifQ=="/>
  </w:docVars>
  <w:rsids>
    <w:rsidRoot w:val="00000000"/>
    <w:rsid w:val="007402CA"/>
    <w:rsid w:val="02BA21E0"/>
    <w:rsid w:val="02E42DB9"/>
    <w:rsid w:val="031215E3"/>
    <w:rsid w:val="032A1114"/>
    <w:rsid w:val="037B196F"/>
    <w:rsid w:val="04795717"/>
    <w:rsid w:val="05C0008F"/>
    <w:rsid w:val="06343CBB"/>
    <w:rsid w:val="06485097"/>
    <w:rsid w:val="06FB20BC"/>
    <w:rsid w:val="071F1DBD"/>
    <w:rsid w:val="073A38EF"/>
    <w:rsid w:val="074E1DB6"/>
    <w:rsid w:val="0D2B3C24"/>
    <w:rsid w:val="0D3D5EE8"/>
    <w:rsid w:val="0D561DE6"/>
    <w:rsid w:val="0E0B38F0"/>
    <w:rsid w:val="0E6F6E91"/>
    <w:rsid w:val="108160EB"/>
    <w:rsid w:val="10A46FC0"/>
    <w:rsid w:val="11535CDA"/>
    <w:rsid w:val="124663D3"/>
    <w:rsid w:val="129772C5"/>
    <w:rsid w:val="12E01C82"/>
    <w:rsid w:val="137C5CA6"/>
    <w:rsid w:val="13A54AE5"/>
    <w:rsid w:val="14220022"/>
    <w:rsid w:val="14A87111"/>
    <w:rsid w:val="18190C42"/>
    <w:rsid w:val="18ED07C2"/>
    <w:rsid w:val="193D1E40"/>
    <w:rsid w:val="19832ED4"/>
    <w:rsid w:val="199D1885"/>
    <w:rsid w:val="1A182DF0"/>
    <w:rsid w:val="1A2C7F73"/>
    <w:rsid w:val="1B666A53"/>
    <w:rsid w:val="1E205195"/>
    <w:rsid w:val="1FA12306"/>
    <w:rsid w:val="1FED02B7"/>
    <w:rsid w:val="203C0DF2"/>
    <w:rsid w:val="204C3F6D"/>
    <w:rsid w:val="208270BF"/>
    <w:rsid w:val="20CE56C6"/>
    <w:rsid w:val="211A5A75"/>
    <w:rsid w:val="22AB53F2"/>
    <w:rsid w:val="249450B5"/>
    <w:rsid w:val="24AC436B"/>
    <w:rsid w:val="25C64874"/>
    <w:rsid w:val="281F3B30"/>
    <w:rsid w:val="284D4FC9"/>
    <w:rsid w:val="28714C07"/>
    <w:rsid w:val="288240FF"/>
    <w:rsid w:val="28E514B5"/>
    <w:rsid w:val="2906382B"/>
    <w:rsid w:val="290D629E"/>
    <w:rsid w:val="298C373E"/>
    <w:rsid w:val="2BBC1B65"/>
    <w:rsid w:val="2DB65067"/>
    <w:rsid w:val="2E0C2D5B"/>
    <w:rsid w:val="2FE878C7"/>
    <w:rsid w:val="2FF87D20"/>
    <w:rsid w:val="31551F9A"/>
    <w:rsid w:val="3291620A"/>
    <w:rsid w:val="34B326E0"/>
    <w:rsid w:val="352A0EF0"/>
    <w:rsid w:val="367A11D2"/>
    <w:rsid w:val="36BD75CE"/>
    <w:rsid w:val="385C4BC4"/>
    <w:rsid w:val="38C955EE"/>
    <w:rsid w:val="398773FF"/>
    <w:rsid w:val="39DC5FBD"/>
    <w:rsid w:val="3A7D69F2"/>
    <w:rsid w:val="3AD2116E"/>
    <w:rsid w:val="3AFD5812"/>
    <w:rsid w:val="3B954941"/>
    <w:rsid w:val="3D612321"/>
    <w:rsid w:val="3E29379B"/>
    <w:rsid w:val="3F214360"/>
    <w:rsid w:val="3FBA6DA0"/>
    <w:rsid w:val="40D33671"/>
    <w:rsid w:val="41C44A69"/>
    <w:rsid w:val="430C0B17"/>
    <w:rsid w:val="432D7889"/>
    <w:rsid w:val="460743C1"/>
    <w:rsid w:val="46DA2028"/>
    <w:rsid w:val="4724046D"/>
    <w:rsid w:val="47304D04"/>
    <w:rsid w:val="48C6036F"/>
    <w:rsid w:val="491D214E"/>
    <w:rsid w:val="4A286FFC"/>
    <w:rsid w:val="4CB20980"/>
    <w:rsid w:val="4D2E777B"/>
    <w:rsid w:val="4D861753"/>
    <w:rsid w:val="4DB316D4"/>
    <w:rsid w:val="4DCB03CA"/>
    <w:rsid w:val="4DD74FC1"/>
    <w:rsid w:val="4E677F3A"/>
    <w:rsid w:val="4F312535"/>
    <w:rsid w:val="50834F8C"/>
    <w:rsid w:val="50B96C00"/>
    <w:rsid w:val="515002BD"/>
    <w:rsid w:val="51677A94"/>
    <w:rsid w:val="5174795A"/>
    <w:rsid w:val="51AC406F"/>
    <w:rsid w:val="53083527"/>
    <w:rsid w:val="533E51F2"/>
    <w:rsid w:val="54622923"/>
    <w:rsid w:val="54AD4927"/>
    <w:rsid w:val="56016118"/>
    <w:rsid w:val="597E0033"/>
    <w:rsid w:val="59A74B39"/>
    <w:rsid w:val="5AD3266C"/>
    <w:rsid w:val="5B5A2D8E"/>
    <w:rsid w:val="5C4A4997"/>
    <w:rsid w:val="5D665A1A"/>
    <w:rsid w:val="5DB57A54"/>
    <w:rsid w:val="5E5F1C11"/>
    <w:rsid w:val="5FB24F46"/>
    <w:rsid w:val="6244680C"/>
    <w:rsid w:val="62A10770"/>
    <w:rsid w:val="64047D3A"/>
    <w:rsid w:val="64287EE0"/>
    <w:rsid w:val="64EF2635"/>
    <w:rsid w:val="650E0E71"/>
    <w:rsid w:val="66263F98"/>
    <w:rsid w:val="66B43C9A"/>
    <w:rsid w:val="680975BA"/>
    <w:rsid w:val="684313CF"/>
    <w:rsid w:val="68B3499C"/>
    <w:rsid w:val="6A5437CA"/>
    <w:rsid w:val="6B122D3D"/>
    <w:rsid w:val="6D8B6DD7"/>
    <w:rsid w:val="6E4C0D76"/>
    <w:rsid w:val="6F235519"/>
    <w:rsid w:val="6F4C3755"/>
    <w:rsid w:val="6F95026E"/>
    <w:rsid w:val="6FC867F3"/>
    <w:rsid w:val="6FE24023"/>
    <w:rsid w:val="6FE25F30"/>
    <w:rsid w:val="721970A7"/>
    <w:rsid w:val="73A16C4C"/>
    <w:rsid w:val="73ED07EB"/>
    <w:rsid w:val="74796A53"/>
    <w:rsid w:val="74EF608F"/>
    <w:rsid w:val="751C3136"/>
    <w:rsid w:val="7545525E"/>
    <w:rsid w:val="757A75A7"/>
    <w:rsid w:val="75F832A4"/>
    <w:rsid w:val="76515048"/>
    <w:rsid w:val="76705D99"/>
    <w:rsid w:val="770A34F1"/>
    <w:rsid w:val="77D7689B"/>
    <w:rsid w:val="78D4254D"/>
    <w:rsid w:val="79E81839"/>
    <w:rsid w:val="7A262361"/>
    <w:rsid w:val="7A785C39"/>
    <w:rsid w:val="7A9D616C"/>
    <w:rsid w:val="7AA03EC1"/>
    <w:rsid w:val="7ADC7559"/>
    <w:rsid w:val="7C7D1F95"/>
    <w:rsid w:val="7DFB4B59"/>
    <w:rsid w:val="7E262ACB"/>
    <w:rsid w:val="7E5E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2767</Words>
  <Characters>2897</Characters>
  <Lines>0</Lines>
  <Paragraphs>0</Paragraphs>
  <TotalTime>170</TotalTime>
  <ScaleCrop>false</ScaleCrop>
  <LinksUpToDate>false</LinksUpToDate>
  <CharactersWithSpaces>2898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2021-03-29T07:51:00Z</dcterms:created>
  <dc:creator>Admin</dc:creator>
  <cp:lastModifiedBy>孔鹏</cp:lastModifiedBy>
  <dcterms:modified xsi:type="dcterms:W3CDTF">2025-01-23T02:56:19Z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8CAAF30CF5454C45972CAA7B7C4C38C1</vt:lpwstr>
  </property>
  <property fmtid="{D5CDD505-2E9C-101B-9397-08002B2CF9AE}" pid="4" name="KSOTemplateDocerSaveRecord">
    <vt:lpwstr>eyJoZGlkIjoiMDIyMWY2NDUxYzkzMzRkMWFiYmEzZDUxMjk4NzAwNDYiLCJ1c2VySWQiOiI1MTI3ODkxMjQifQ==</vt:lpwstr>
  </property>
</Properties>
</file>