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5525">
      <w:pPr>
        <w:keepNext w:val="0"/>
        <w:keepLines w:val="0"/>
        <w:pageBreakBefore w:val="0"/>
        <w:kinsoku/>
        <w:overflowPunct/>
        <w:topLinePunct w:val="0"/>
        <w:autoSpaceDE/>
        <w:autoSpaceDN/>
        <w:bidi w:val="0"/>
        <w:adjustRightInd/>
        <w:snapToGrid/>
        <w:spacing w:afterAutospacing="0" w:line="580" w:lineRule="exact"/>
        <w:ind w:right="0"/>
        <w:jc w:val="center"/>
        <w:textAlignment w:val="auto"/>
        <w:rPr>
          <w:rFonts w:hint="eastAsia" w:ascii="方正公文小标宋" w:hAnsi="方正公文小标宋" w:eastAsia="方正公文小标宋" w:cs="方正公文小标宋"/>
          <w:i w:val="0"/>
          <w:iCs w:val="0"/>
          <w:caps w:val="0"/>
          <w:color w:val="000000"/>
          <w:spacing w:val="0"/>
          <w:sz w:val="44"/>
          <w:szCs w:val="44"/>
          <w:shd w:val="clear" w:fill="FFFFFF"/>
        </w:rPr>
      </w:pPr>
      <w:r>
        <w:rPr>
          <w:rFonts w:hint="eastAsia" w:ascii="方正公文小标宋" w:hAnsi="方正公文小标宋" w:eastAsia="方正公文小标宋" w:cs="方正公文小标宋"/>
          <w:i w:val="0"/>
          <w:iCs w:val="0"/>
          <w:caps w:val="0"/>
          <w:color w:val="000000"/>
          <w:spacing w:val="0"/>
          <w:sz w:val="44"/>
          <w:szCs w:val="44"/>
          <w:shd w:val="clear" w:fill="FFFFFF"/>
        </w:rPr>
        <w:t>枣庄高新区兴仁街道</w:t>
      </w:r>
      <w:r>
        <w:rPr>
          <w:rFonts w:hint="eastAsia" w:ascii="方正公文小标宋" w:hAnsi="方正公文小标宋" w:eastAsia="方正公文小标宋" w:cs="方正公文小标宋"/>
          <w:i w:val="0"/>
          <w:iCs w:val="0"/>
          <w:caps w:val="0"/>
          <w:color w:val="000000"/>
          <w:spacing w:val="0"/>
          <w:sz w:val="44"/>
          <w:szCs w:val="44"/>
          <w:shd w:val="clear" w:fill="FFFFFF"/>
          <w:lang w:val="en-US" w:eastAsia="zh-CN"/>
        </w:rPr>
        <w:t>办事处</w:t>
      </w:r>
      <w:r>
        <w:rPr>
          <w:rFonts w:hint="eastAsia" w:ascii="方正公文小标宋" w:hAnsi="方正公文小标宋" w:eastAsia="方正公文小标宋" w:cs="方正公文小标宋"/>
          <w:i w:val="0"/>
          <w:iCs w:val="0"/>
          <w:caps w:val="0"/>
          <w:color w:val="000000"/>
          <w:spacing w:val="0"/>
          <w:sz w:val="44"/>
          <w:szCs w:val="44"/>
          <w:shd w:val="clear" w:fill="FFFFFF"/>
        </w:rPr>
        <w:t>202</w:t>
      </w:r>
      <w:r>
        <w:rPr>
          <w:rFonts w:hint="eastAsia" w:ascii="方正公文小标宋" w:hAnsi="方正公文小标宋" w:eastAsia="方正公文小标宋" w:cs="方正公文小标宋"/>
          <w:i w:val="0"/>
          <w:iCs w:val="0"/>
          <w:caps w:val="0"/>
          <w:color w:val="000000"/>
          <w:spacing w:val="0"/>
          <w:sz w:val="44"/>
          <w:szCs w:val="44"/>
          <w:shd w:val="clear" w:fill="FFFFFF"/>
          <w:lang w:val="en-US" w:eastAsia="zh-CN"/>
        </w:rPr>
        <w:t>4</w:t>
      </w:r>
      <w:r>
        <w:rPr>
          <w:rFonts w:hint="eastAsia" w:ascii="方正公文小标宋" w:hAnsi="方正公文小标宋" w:eastAsia="方正公文小标宋" w:cs="方正公文小标宋"/>
          <w:i w:val="0"/>
          <w:iCs w:val="0"/>
          <w:caps w:val="0"/>
          <w:color w:val="000000"/>
          <w:spacing w:val="0"/>
          <w:sz w:val="44"/>
          <w:szCs w:val="44"/>
          <w:shd w:val="clear" w:fill="FFFFFF"/>
        </w:rPr>
        <w:t>年</w:t>
      </w:r>
    </w:p>
    <w:p w14:paraId="20388BB2">
      <w:pPr>
        <w:keepNext w:val="0"/>
        <w:keepLines w:val="0"/>
        <w:pageBreakBefore w:val="0"/>
        <w:kinsoku/>
        <w:overflowPunct/>
        <w:topLinePunct w:val="0"/>
        <w:autoSpaceDE/>
        <w:autoSpaceDN/>
        <w:bidi w:val="0"/>
        <w:adjustRightInd/>
        <w:snapToGrid/>
        <w:spacing w:afterAutospacing="0" w:line="580" w:lineRule="exact"/>
        <w:ind w:right="0"/>
        <w:jc w:val="center"/>
        <w:textAlignment w:val="auto"/>
        <w:rPr>
          <w:rFonts w:hint="eastAsia" w:ascii="仿宋_GB2312" w:hAnsi="仿宋_GB2312" w:eastAsia="仿宋_GB2312" w:cs="仿宋_GB2312"/>
          <w:i w:val="0"/>
          <w:iCs w:val="0"/>
          <w:caps w:val="0"/>
          <w:color w:val="000000"/>
          <w:spacing w:val="0"/>
          <w:sz w:val="44"/>
          <w:szCs w:val="44"/>
          <w:shd w:val="clear" w:fill="FFFFFF"/>
        </w:rPr>
      </w:pPr>
      <w:r>
        <w:rPr>
          <w:rFonts w:hint="eastAsia" w:ascii="方正公文小标宋" w:hAnsi="方正公文小标宋" w:eastAsia="方正公文小标宋" w:cs="方正公文小标宋"/>
          <w:i w:val="0"/>
          <w:iCs w:val="0"/>
          <w:caps w:val="0"/>
          <w:color w:val="000000"/>
          <w:spacing w:val="0"/>
          <w:sz w:val="44"/>
          <w:szCs w:val="44"/>
          <w:shd w:val="clear" w:fill="FFFFFF"/>
        </w:rPr>
        <w:t>政府信息公开工作年度报告</w:t>
      </w:r>
    </w:p>
    <w:p w14:paraId="4A046E6C">
      <w:pPr>
        <w:keepNext w:val="0"/>
        <w:keepLines w:val="0"/>
        <w:pageBreakBefore w:val="0"/>
        <w:kinsoku/>
        <w:overflowPunct/>
        <w:topLinePunct w:val="0"/>
        <w:autoSpaceDE/>
        <w:autoSpaceDN/>
        <w:bidi w:val="0"/>
        <w:adjustRightInd/>
        <w:snapToGrid/>
        <w:spacing w:afterAutospacing="0" w:line="580" w:lineRule="exact"/>
        <w:ind w:right="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14:paraId="5F54FC4E">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rPr>
        <w:t>202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4</w:t>
      </w:r>
      <w:r>
        <w:rPr>
          <w:rFonts w:hint="eastAsia" w:ascii="仿宋_GB2312" w:hAnsi="仿宋_GB2312" w:eastAsia="仿宋_GB2312" w:cs="仿宋_GB2312"/>
          <w:i w:val="0"/>
          <w:iCs w:val="0"/>
          <w:caps w:val="0"/>
          <w:color w:val="000000"/>
          <w:spacing w:val="0"/>
          <w:sz w:val="32"/>
          <w:szCs w:val="32"/>
          <w:highlight w:val="none"/>
          <w:shd w:val="clear" w:fill="FFFFFF"/>
        </w:rPr>
        <w:t>年以来，</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枣庄高新区兴仁街道办事处</w:t>
      </w:r>
      <w:r>
        <w:rPr>
          <w:rFonts w:hint="eastAsia" w:ascii="仿宋_GB2312" w:hAnsi="仿宋_GB2312" w:eastAsia="仿宋_GB2312" w:cs="仿宋_GB2312"/>
          <w:i w:val="0"/>
          <w:iCs w:val="0"/>
          <w:caps w:val="0"/>
          <w:color w:val="000000"/>
          <w:spacing w:val="0"/>
          <w:sz w:val="32"/>
          <w:szCs w:val="32"/>
          <w:highlight w:val="none"/>
          <w:shd w:val="clear" w:fill="FFFFFF"/>
        </w:rPr>
        <w:t>认真贯彻落实《中华人民共和国政府信息公开条例》（国务院令第711号，以下简称《条例》）精神，现依据《</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条例</w:t>
      </w:r>
      <w:r>
        <w:rPr>
          <w:rFonts w:hint="eastAsia" w:ascii="仿宋_GB2312" w:hAnsi="仿宋_GB2312" w:eastAsia="仿宋_GB2312" w:cs="仿宋_GB2312"/>
          <w:i w:val="0"/>
          <w:iCs w:val="0"/>
          <w:caps w:val="0"/>
          <w:color w:val="000000"/>
          <w:spacing w:val="0"/>
          <w:sz w:val="32"/>
          <w:szCs w:val="32"/>
          <w:highlight w:val="none"/>
          <w:shd w:val="clear" w:fill="FFFFFF"/>
        </w:rPr>
        <w:t>》和《枣庄市人民政府办公室关于做好202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4</w:t>
      </w:r>
      <w:r>
        <w:rPr>
          <w:rFonts w:hint="eastAsia" w:ascii="仿宋_GB2312" w:hAnsi="仿宋_GB2312" w:eastAsia="仿宋_GB2312" w:cs="仿宋_GB2312"/>
          <w:i w:val="0"/>
          <w:iCs w:val="0"/>
          <w:caps w:val="0"/>
          <w:color w:val="000000"/>
          <w:spacing w:val="0"/>
          <w:sz w:val="32"/>
          <w:szCs w:val="32"/>
          <w:highlight w:val="none"/>
          <w:shd w:val="clear" w:fill="FFFFFF"/>
        </w:rPr>
        <w:t>年政府信息公开工作年度报告编制和发布工作的通知》要求，编制本报告，本年度报告中所列数据的统计期限自202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4</w:t>
      </w:r>
      <w:r>
        <w:rPr>
          <w:rFonts w:hint="eastAsia" w:ascii="仿宋_GB2312" w:hAnsi="仿宋_GB2312" w:eastAsia="仿宋_GB2312" w:cs="仿宋_GB2312"/>
          <w:i w:val="0"/>
          <w:iCs w:val="0"/>
          <w:caps w:val="0"/>
          <w:color w:val="000000"/>
          <w:spacing w:val="0"/>
          <w:sz w:val="32"/>
          <w:szCs w:val="32"/>
          <w:highlight w:val="none"/>
          <w:shd w:val="clear" w:fill="FFFFFF"/>
        </w:rPr>
        <w:t>年1月1日起至202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4</w:t>
      </w:r>
      <w:r>
        <w:rPr>
          <w:rFonts w:hint="eastAsia" w:ascii="仿宋_GB2312" w:hAnsi="仿宋_GB2312" w:eastAsia="仿宋_GB2312" w:cs="仿宋_GB2312"/>
          <w:i w:val="0"/>
          <w:iCs w:val="0"/>
          <w:caps w:val="0"/>
          <w:color w:val="000000"/>
          <w:spacing w:val="0"/>
          <w:sz w:val="32"/>
          <w:szCs w:val="32"/>
          <w:highlight w:val="none"/>
          <w:shd w:val="clear" w:fill="FFFFFF"/>
        </w:rPr>
        <w:t>年12月31日止。</w:t>
      </w:r>
      <w:r>
        <w:rPr>
          <w:rFonts w:hint="eastAsia" w:ascii="仿宋_GB2312" w:hAnsi="仿宋_GB2312" w:eastAsia="仿宋_GB2312" w:cs="仿宋_GB2312"/>
          <w:sz w:val="32"/>
          <w:szCs w:val="32"/>
          <w:highlight w:val="none"/>
        </w:rPr>
        <w:t>本报告全文将在枣庄高新区官网（http://www.zzctp.gov.cn/）“政府信息公开年度报告”专栏公布。</w:t>
      </w:r>
      <w:r>
        <w:rPr>
          <w:rFonts w:hint="eastAsia" w:ascii="仿宋_GB2312" w:hAnsi="仿宋_GB2312" w:eastAsia="仿宋_GB2312" w:cs="仿宋_GB2312"/>
          <w:i w:val="0"/>
          <w:iCs w:val="0"/>
          <w:caps w:val="0"/>
          <w:color w:val="000000"/>
          <w:spacing w:val="0"/>
          <w:sz w:val="32"/>
          <w:szCs w:val="32"/>
          <w:highlight w:val="none"/>
          <w:shd w:val="clear" w:fill="FFFFFF"/>
        </w:rPr>
        <w:t>如对本报告有疑问，可与枣庄高新区兴仁街道</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办事处</w:t>
      </w:r>
      <w:r>
        <w:rPr>
          <w:rFonts w:hint="eastAsia" w:ascii="仿宋_GB2312" w:hAnsi="仿宋_GB2312" w:eastAsia="仿宋_GB2312" w:cs="仿宋_GB2312"/>
          <w:i w:val="0"/>
          <w:iCs w:val="0"/>
          <w:caps w:val="0"/>
          <w:color w:val="000000"/>
          <w:spacing w:val="0"/>
          <w:sz w:val="32"/>
          <w:szCs w:val="32"/>
          <w:highlight w:val="none"/>
          <w:shd w:val="clear" w:fill="FFFFFF"/>
        </w:rPr>
        <w:t>联系（联系电话:0632-8695998，电子邮箱:xingrenjiedao@126.c</w:t>
      </w:r>
      <w:r>
        <w:rPr>
          <w:rFonts w:hint="eastAsia" w:ascii="仿宋_GB2312" w:hAnsi="仿宋_GB2312" w:eastAsia="仿宋_GB2312" w:cs="仿宋_GB2312"/>
          <w:i w:val="0"/>
          <w:iCs w:val="0"/>
          <w:caps w:val="0"/>
          <w:color w:val="000000"/>
          <w:spacing w:val="0"/>
          <w:sz w:val="32"/>
          <w:szCs w:val="32"/>
          <w:shd w:val="clear" w:fill="FFFFFF"/>
        </w:rPr>
        <w:t>om）</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本文包括总体情况、主动公开政府信息、收到和处理政府信息公开申请、政府信息公开行政复议、行政诉讼、存在的主要问题及改进和其他需报告的事项等情况。</w:t>
      </w:r>
    </w:p>
    <w:p w14:paraId="51F2552D">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—、总体情况</w:t>
      </w:r>
    </w:p>
    <w:p w14:paraId="52210B40">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年以来，</w:t>
      </w:r>
      <w:r>
        <w:rPr>
          <w:rFonts w:hint="eastAsia" w:ascii="仿宋_GB2312" w:hAnsi="仿宋_GB2312" w:eastAsia="仿宋_GB2312" w:cs="仿宋_GB2312"/>
          <w:i w:val="0"/>
          <w:iCs w:val="0"/>
          <w:caps w:val="0"/>
          <w:color w:val="000000"/>
          <w:spacing w:val="0"/>
          <w:sz w:val="32"/>
          <w:szCs w:val="32"/>
          <w:shd w:val="clear" w:fill="FFFFFF"/>
          <w:lang w:val="en-US" w:eastAsia="zh-CN"/>
        </w:rPr>
        <w:t>枣庄高新区兴仁街道办事处</w:t>
      </w:r>
      <w:r>
        <w:rPr>
          <w:rFonts w:hint="eastAsia" w:ascii="仿宋_GB2312" w:hAnsi="仿宋_GB2312" w:eastAsia="仿宋_GB2312" w:cs="仿宋_GB2312"/>
          <w:i w:val="0"/>
          <w:iCs w:val="0"/>
          <w:caps w:val="0"/>
          <w:color w:val="000000"/>
          <w:spacing w:val="0"/>
          <w:sz w:val="32"/>
          <w:szCs w:val="32"/>
          <w:shd w:val="clear" w:fill="FFFFFF"/>
        </w:rPr>
        <w:t>深入贯彻落实国家、</w:t>
      </w:r>
      <w:r>
        <w:rPr>
          <w:rFonts w:hint="eastAsia" w:ascii="仿宋_GB2312" w:hAnsi="仿宋_GB2312" w:eastAsia="仿宋_GB2312" w:cs="仿宋_GB2312"/>
          <w:i w:val="0"/>
          <w:iCs w:val="0"/>
          <w:caps w:val="0"/>
          <w:color w:val="000000"/>
          <w:spacing w:val="0"/>
          <w:sz w:val="32"/>
          <w:szCs w:val="32"/>
          <w:shd w:val="clear" w:fill="FFFFFF"/>
          <w:lang w:val="en-US" w:eastAsia="zh-CN"/>
        </w:rPr>
        <w:t>枣庄市</w:t>
      </w:r>
      <w:r>
        <w:rPr>
          <w:rFonts w:hint="eastAsia" w:ascii="仿宋_GB2312" w:hAnsi="仿宋_GB2312" w:eastAsia="仿宋_GB2312" w:cs="仿宋_GB2312"/>
          <w:i w:val="0"/>
          <w:iCs w:val="0"/>
          <w:caps w:val="0"/>
          <w:color w:val="000000"/>
          <w:spacing w:val="0"/>
          <w:sz w:val="32"/>
          <w:szCs w:val="32"/>
          <w:shd w:val="clear" w:fill="FFFFFF"/>
        </w:rPr>
        <w:t>和</w:t>
      </w:r>
      <w:r>
        <w:rPr>
          <w:rFonts w:hint="eastAsia" w:ascii="仿宋_GB2312" w:hAnsi="仿宋_GB2312" w:eastAsia="仿宋_GB2312" w:cs="仿宋_GB2312"/>
          <w:i w:val="0"/>
          <w:iCs w:val="0"/>
          <w:caps w:val="0"/>
          <w:color w:val="000000"/>
          <w:spacing w:val="0"/>
          <w:sz w:val="32"/>
          <w:szCs w:val="32"/>
          <w:shd w:val="clear" w:fill="FFFFFF"/>
          <w:lang w:val="en-US" w:eastAsia="zh-CN"/>
        </w:rPr>
        <w:t>高新区</w:t>
      </w:r>
      <w:r>
        <w:rPr>
          <w:rFonts w:hint="eastAsia" w:ascii="仿宋_GB2312" w:hAnsi="仿宋_GB2312" w:eastAsia="仿宋_GB2312" w:cs="仿宋_GB2312"/>
          <w:i w:val="0"/>
          <w:iCs w:val="0"/>
          <w:caps w:val="0"/>
          <w:color w:val="000000"/>
          <w:spacing w:val="0"/>
          <w:sz w:val="32"/>
          <w:szCs w:val="32"/>
          <w:shd w:val="clear" w:fill="FFFFFF"/>
        </w:rPr>
        <w:t>政务公开工作有关决策部署和要求，大力推进生态环境领域政府信息公开工作，切实保障人民群众的环境知情权、参与权、监督权和表达权。</w:t>
      </w:r>
      <w:r>
        <w:rPr>
          <w:rFonts w:hint="eastAsia" w:ascii="仿宋_GB2312" w:hAnsi="仿宋_GB2312" w:eastAsia="仿宋_GB2312" w:cs="仿宋_GB2312"/>
          <w:i w:val="0"/>
          <w:iCs w:val="0"/>
          <w:caps w:val="0"/>
          <w:color w:val="000000"/>
          <w:spacing w:val="0"/>
          <w:sz w:val="32"/>
          <w:szCs w:val="32"/>
          <w:shd w:val="clear" w:fill="FFFFFF"/>
          <w:lang w:val="en-US" w:eastAsia="zh-CN"/>
        </w:rPr>
        <w:t>特此说明主动公开工作、依申请公开、政府信息管理、政府信息公开平台建设和监督管理情况。</w:t>
      </w:r>
    </w:p>
    <w:p w14:paraId="4B9AB562">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（一）主动公开工作情况</w:t>
      </w:r>
    </w:p>
    <w:p w14:paraId="5FE3287F">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兴仁</w:t>
      </w:r>
      <w:r>
        <w:rPr>
          <w:rFonts w:hint="eastAsia" w:ascii="仿宋_GB2312" w:hAnsi="仿宋_GB2312" w:eastAsia="仿宋_GB2312" w:cs="仿宋_GB2312"/>
          <w:sz w:val="32"/>
          <w:szCs w:val="32"/>
        </w:rPr>
        <w:t>街道主</w:t>
      </w:r>
      <w:r>
        <w:rPr>
          <w:rFonts w:hint="default" w:ascii="仿宋_GB2312" w:hAnsi="仿宋_GB2312" w:eastAsia="仿宋_GB2312" w:cs="仿宋_GB2312"/>
          <w:sz w:val="32"/>
          <w:szCs w:val="32"/>
        </w:rPr>
        <w:t>动公开政府信息</w:t>
      </w:r>
      <w:r>
        <w:rPr>
          <w:rFonts w:hint="eastAsia" w:ascii="仿宋_GB2312" w:hAnsi="仿宋_GB2312" w:eastAsia="仿宋_GB2312" w:cs="仿宋_GB2312"/>
          <w:sz w:val="32"/>
          <w:szCs w:val="32"/>
          <w:lang w:val="en-US" w:eastAsia="zh-CN"/>
        </w:rPr>
        <w:t>300余</w:t>
      </w:r>
      <w:r>
        <w:rPr>
          <w:rFonts w:hint="default" w:ascii="仿宋_GB2312" w:hAnsi="仿宋_GB2312" w:eastAsia="仿宋_GB2312" w:cs="仿宋_GB2312"/>
          <w:sz w:val="32"/>
          <w:szCs w:val="32"/>
        </w:rPr>
        <w:t>条</w:t>
      </w:r>
      <w:r>
        <w:rPr>
          <w:rFonts w:hint="eastAsia" w:ascii="仿宋_GB2312" w:hAnsi="仿宋_GB2312" w:eastAsia="仿宋_GB2312" w:cs="仿宋_GB2312"/>
          <w:sz w:val="32"/>
          <w:szCs w:val="32"/>
        </w:rPr>
        <w:t>通过政府门户网站公开政府信息</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highlight w:val="none"/>
          <w:lang w:val="en-US" w:eastAsia="zh-CN"/>
        </w:rPr>
        <w:t>余</w:t>
      </w:r>
      <w:r>
        <w:rPr>
          <w:rFonts w:hint="eastAsia" w:ascii="仿宋_GB2312" w:hAnsi="仿宋_GB2312" w:eastAsia="仿宋_GB2312" w:cs="仿宋_GB2312"/>
          <w:sz w:val="32"/>
          <w:szCs w:val="32"/>
        </w:rPr>
        <w:t>条，通过</w:t>
      </w:r>
      <w:r>
        <w:rPr>
          <w:rFonts w:hint="eastAsia" w:ascii="仿宋_GB2312" w:hAnsi="仿宋_GB2312" w:eastAsia="仿宋_GB2312" w:cs="仿宋_GB2312"/>
          <w:sz w:val="32"/>
          <w:szCs w:val="32"/>
          <w:lang w:val="en-US" w:eastAsia="zh-CN"/>
        </w:rPr>
        <w:t>兴仁</w:t>
      </w:r>
      <w:r>
        <w:rPr>
          <w:rFonts w:hint="eastAsia" w:ascii="仿宋_GB2312" w:hAnsi="仿宋_GB2312" w:eastAsia="仿宋_GB2312" w:cs="仿宋_GB2312"/>
          <w:sz w:val="32"/>
          <w:szCs w:val="32"/>
        </w:rPr>
        <w:t>街道微信公众号发布信息</w:t>
      </w:r>
      <w:r>
        <w:rPr>
          <w:rFonts w:hint="eastAsia" w:ascii="仿宋_GB2312" w:hAnsi="仿宋_GB2312" w:eastAsia="仿宋_GB2312" w:cs="仿宋_GB2312"/>
          <w:sz w:val="32"/>
          <w:szCs w:val="32"/>
          <w:lang w:val="en-US" w:eastAsia="zh-CN"/>
        </w:rPr>
        <w:t>250条，</w:t>
      </w:r>
      <w:r>
        <w:rPr>
          <w:rFonts w:hint="eastAsia" w:ascii="仿宋_GB2312" w:hAnsi="仿宋_GB2312" w:eastAsia="仿宋_GB2312" w:cs="仿宋_GB2312"/>
          <w:sz w:val="32"/>
          <w:szCs w:val="32"/>
        </w:rPr>
        <w:t>会议公开方面，202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年共召开</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街道主任</w:t>
      </w:r>
      <w:r>
        <w:rPr>
          <w:rFonts w:hint="eastAsia" w:ascii="仿宋_GB2312" w:hAnsi="仿宋_GB2312" w:eastAsia="仿宋_GB2312" w:cs="仿宋_GB2312"/>
          <w:sz w:val="32"/>
          <w:szCs w:val="32"/>
        </w:rPr>
        <w:t>办公会议、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次专题会议。其中，采取</w:t>
      </w:r>
      <w:r>
        <w:rPr>
          <w:rFonts w:hint="eastAsia" w:ascii="仿宋_GB2312" w:hAnsi="仿宋_GB2312" w:eastAsia="仿宋_GB2312" w:cs="仿宋_GB2312"/>
          <w:sz w:val="32"/>
          <w:szCs w:val="32"/>
          <w:lang w:eastAsia="zh-CN"/>
        </w:rPr>
        <w:t>新闻稿、</w:t>
      </w:r>
      <w:r>
        <w:rPr>
          <w:rFonts w:hint="eastAsia" w:ascii="仿宋_GB2312" w:hAnsi="仿宋_GB2312" w:eastAsia="仿宋_GB2312" w:cs="仿宋_GB2312"/>
          <w:sz w:val="32"/>
          <w:szCs w:val="32"/>
        </w:rPr>
        <w:t>广播电视</w:t>
      </w:r>
      <w:r>
        <w:rPr>
          <w:rFonts w:hint="eastAsia" w:ascii="仿宋_GB2312" w:hAnsi="仿宋_GB2312" w:eastAsia="仿宋_GB2312" w:cs="仿宋_GB2312"/>
          <w:sz w:val="32"/>
          <w:szCs w:val="32"/>
          <w:lang w:eastAsia="zh-CN"/>
        </w:rPr>
        <w:t>、网络</w:t>
      </w:r>
      <w:r>
        <w:rPr>
          <w:rFonts w:hint="eastAsia" w:ascii="仿宋_GB2312" w:hAnsi="仿宋_GB2312" w:eastAsia="仿宋_GB2312" w:cs="仿宋_GB2312"/>
          <w:sz w:val="32"/>
          <w:szCs w:val="32"/>
        </w:rPr>
        <w:t>和新媒体等形式向社会公开了</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街道主任</w:t>
      </w:r>
      <w:r>
        <w:rPr>
          <w:rFonts w:hint="eastAsia" w:ascii="仿宋_GB2312" w:hAnsi="仿宋_GB2312" w:eastAsia="仿宋_GB2312" w:cs="仿宋_GB2312"/>
          <w:sz w:val="32"/>
          <w:szCs w:val="32"/>
        </w:rPr>
        <w:t>办公会议。</w:t>
      </w:r>
      <w:r>
        <w:rPr>
          <w:rFonts w:hint="default" w:ascii="仿宋_GB2312" w:hAnsi="仿宋_GB2312" w:eastAsia="仿宋_GB2312" w:cs="仿宋_GB2312"/>
          <w:sz w:val="32"/>
          <w:szCs w:val="32"/>
          <w:lang w:val="en-US" w:eastAsia="zh-CN"/>
        </w:rPr>
        <w:drawing>
          <wp:inline distT="0" distB="0" distL="114300" distR="114300">
            <wp:extent cx="5256530" cy="2988310"/>
            <wp:effectExtent l="5080" t="4445" r="15240" b="17145"/>
            <wp:docPr id="4" name="图表 4"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0630258C">
      <w:pPr>
        <w:ind w:firstLine="420" w:firstLineChars="200"/>
        <w:jc w:val="left"/>
        <w:rPr>
          <w:rFonts w:hint="default" w:ascii="仿宋_GB2312" w:hAnsi="仿宋_GB2312" w:eastAsia="仿宋_GB2312" w:cs="仿宋_GB2312"/>
          <w:sz w:val="32"/>
          <w:szCs w:val="32"/>
          <w:lang w:val="en-US" w:eastAsia="zh-CN"/>
        </w:rPr>
      </w:pPr>
      <w:r>
        <w:drawing>
          <wp:inline distT="0" distB="0" distL="114300" distR="114300">
            <wp:extent cx="4987925" cy="2573655"/>
            <wp:effectExtent l="0" t="0" r="3175"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987925" cy="2573655"/>
                    </a:xfrm>
                    <a:prstGeom prst="rect">
                      <a:avLst/>
                    </a:prstGeom>
                    <a:noFill/>
                    <a:ln>
                      <a:noFill/>
                    </a:ln>
                  </pic:spPr>
                </pic:pic>
              </a:graphicData>
            </a:graphic>
          </wp:inline>
        </w:drawing>
      </w:r>
    </w:p>
    <w:p w14:paraId="10DBAF53">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（二）依申请公开</w:t>
      </w:r>
    </w:p>
    <w:p w14:paraId="4FC0AB12">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收到和处理政府信息公开申请情况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街道严格按照各级工作要求，依《中华人民共和国政府信息公开条例》，严格规范依申请公开办理流程，加强政府信息依申请公开事项办理标准化规范化建设，确保政府信息公开申请渠道畅通。</w:t>
      </w:r>
      <w:r>
        <w:rPr>
          <w:rFonts w:hint="eastAsia" w:ascii="仿宋_GB2312" w:hAnsi="仿宋_GB2312" w:eastAsia="仿宋_GB2312" w:cs="仿宋_GB2312"/>
          <w:sz w:val="32"/>
          <w:szCs w:val="32"/>
          <w:lang w:val="en-US" w:eastAsia="zh-CN"/>
        </w:rPr>
        <w:t>2024年枣庄高新区兴仁街道</w:t>
      </w:r>
      <w:r>
        <w:rPr>
          <w:rFonts w:hint="eastAsia" w:ascii="仿宋_GB2312" w:hAnsi="仿宋_GB2312" w:eastAsia="仿宋_GB2312" w:cs="仿宋_GB2312"/>
          <w:sz w:val="32"/>
          <w:szCs w:val="32"/>
        </w:rPr>
        <w:t>共收到依申请公开件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件（其中官网收到0件，信件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件），按时回复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兴仁</w:t>
      </w:r>
      <w:r>
        <w:rPr>
          <w:rFonts w:hint="eastAsia" w:ascii="仿宋_GB2312" w:hAnsi="仿宋_GB2312" w:eastAsia="仿宋_GB2312" w:cs="仿宋_GB2312"/>
          <w:sz w:val="32"/>
          <w:szCs w:val="32"/>
        </w:rPr>
        <w:t>街道公开行政复议0件，政府信息公开行政诉讼总数0件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与23年相比增加0条。</w:t>
      </w:r>
    </w:p>
    <w:p w14:paraId="7B0576D6">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1D23D40F">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（三）政府信息管理</w:t>
      </w:r>
    </w:p>
    <w:p w14:paraId="66C8F2AC">
      <w:pPr>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严格按照法定时限发布并实时更新法定主动公开内容。明确责任，街道党政办公室为信息公开工作主管部门，并配备专职工作人员</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名，负责推进、协调街道办事处政府信息公开工作，不断增强工作透明度，切实保障群众的知情权、参与权和监督权。</w:t>
      </w:r>
    </w:p>
    <w:p w14:paraId="693483DE">
      <w:pPr>
        <w:ind w:firstLine="640" w:firstLineChars="200"/>
        <w:rPr>
          <w:rFonts w:hint="default" w:ascii="仿宋_GB2312" w:hAnsi="仿宋_GB2312" w:eastAsia="仿宋_GB2312" w:cs="仿宋_GB2312"/>
          <w:sz w:val="32"/>
          <w:szCs w:val="32"/>
        </w:rPr>
      </w:pPr>
      <w:r>
        <w:rPr>
          <w:rFonts w:hint="default" w:ascii="楷体_GB2312" w:hAnsi="楷体_GB2312" w:eastAsia="楷体_GB2312" w:cs="楷体_GB2312"/>
          <w:sz w:val="32"/>
          <w:szCs w:val="32"/>
        </w:rPr>
        <w:t>（四）政府信息公开平台建设</w:t>
      </w:r>
    </w:p>
    <w:p w14:paraId="43A3FE5F">
      <w:pPr>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街道全力打造“枣庄高新区兴仁街道办事处”公众号这一信息窗口，以图文并茂、生动有趣的推文，深度解读街道政策、展示工作亮点。同时“兴业仁治”视频号持续推出系列短视频，真实记录街道发展进程。此外，紧密依托高新区政府门户网站，开辟专门板块，将民生保障、社区建设等关键信息集中呈现，确保居民便捷获取，让信息公开更具实效。</w:t>
      </w:r>
    </w:p>
    <w:p w14:paraId="15FFE13F">
      <w:pPr>
        <w:ind w:firstLine="640" w:firstLineChars="200"/>
        <w:rPr>
          <w:rFonts w:hint="default" w:ascii="仿宋_GB2312" w:hAnsi="仿宋_GB2312" w:eastAsia="仿宋_GB2312" w:cs="仿宋_GB2312"/>
          <w:sz w:val="32"/>
          <w:szCs w:val="32"/>
        </w:rPr>
      </w:pPr>
      <w:r>
        <w:rPr>
          <w:rFonts w:hint="eastAsia" w:ascii="楷体_GB2312" w:hAnsi="楷体_GB2312" w:eastAsia="楷体_GB2312" w:cs="楷体_GB2312"/>
          <w:sz w:val="32"/>
          <w:szCs w:val="32"/>
        </w:rPr>
        <w:t>（五）监督保障</w:t>
      </w:r>
    </w:p>
    <w:p w14:paraId="0B930BDB">
      <w:pPr>
        <w:ind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lang w:val="en-US" w:eastAsia="zh-CN"/>
        </w:rPr>
        <w:t>本年度</w:t>
      </w:r>
      <w:r>
        <w:rPr>
          <w:rFonts w:hint="default" w:ascii="仿宋_GB2312" w:hAnsi="仿宋_GB2312" w:eastAsia="仿宋_GB2312" w:cs="仿宋_GB2312"/>
          <w:sz w:val="32"/>
          <w:szCs w:val="32"/>
          <w:lang w:val="en-US" w:eastAsia="zh-CN"/>
        </w:rPr>
        <w:t>配备</w:t>
      </w:r>
      <w:r>
        <w:rPr>
          <w:rFonts w:hint="eastAsia" w:ascii="仿宋_GB2312" w:hAnsi="仿宋_GB2312" w:eastAsia="仿宋_GB2312" w:cs="仿宋_GB2312"/>
          <w:sz w:val="32"/>
          <w:szCs w:val="32"/>
          <w:lang w:val="en-US" w:eastAsia="zh-CN"/>
        </w:rPr>
        <w:t>政务公开</w:t>
      </w:r>
      <w:r>
        <w:rPr>
          <w:rFonts w:hint="default" w:ascii="仿宋_GB2312" w:hAnsi="仿宋_GB2312" w:eastAsia="仿宋_GB2312" w:cs="仿宋_GB2312"/>
          <w:sz w:val="32"/>
          <w:szCs w:val="32"/>
          <w:lang w:val="en-US" w:eastAsia="zh-CN"/>
        </w:rPr>
        <w:t>专职工作人员</w:t>
      </w:r>
      <w:r>
        <w:rPr>
          <w:rFonts w:hint="eastAsia" w:ascii="仿宋_GB2312" w:hAnsi="仿宋_GB2312" w:eastAsia="仿宋_GB2312" w:cs="仿宋_GB2312"/>
          <w:sz w:val="32"/>
          <w:szCs w:val="32"/>
          <w:lang w:val="en-US" w:eastAsia="zh-CN"/>
        </w:rPr>
        <w:t>2人，并开展以</w:t>
      </w:r>
      <w:r>
        <w:rPr>
          <w:rFonts w:hint="default" w:ascii="仿宋_GB2312" w:hAnsi="仿宋_GB2312" w:eastAsia="仿宋_GB2312" w:cs="仿宋_GB2312"/>
          <w:sz w:val="32"/>
          <w:szCs w:val="32"/>
          <w:lang w:val="en-US" w:eastAsia="zh-CN"/>
        </w:rPr>
        <w:t>公开是一种力量，要做好树立“公开为原则、不公开为例外”的理念</w:t>
      </w:r>
      <w:r>
        <w:rPr>
          <w:rFonts w:hint="eastAsia" w:ascii="仿宋_GB2312" w:hAnsi="仿宋_GB2312" w:eastAsia="仿宋_GB2312" w:cs="仿宋_GB2312"/>
          <w:sz w:val="32"/>
          <w:szCs w:val="32"/>
          <w:lang w:val="en-US" w:eastAsia="zh-CN"/>
        </w:rPr>
        <w:t>。开展政务公开培训1次，落实</w:t>
      </w:r>
      <w:r>
        <w:rPr>
          <w:rFonts w:hint="default" w:ascii="仿宋_GB2312" w:hAnsi="仿宋_GB2312" w:eastAsia="仿宋_GB2312" w:cs="仿宋_GB2312"/>
          <w:sz w:val="32"/>
          <w:szCs w:val="32"/>
          <w:lang w:val="en-US" w:eastAsia="zh-CN"/>
        </w:rPr>
        <w:t>健全工作机制，提高工作人员素养，规范做好政务公开工作，提升政务公开工作效能。</w:t>
      </w:r>
    </w:p>
    <w:p w14:paraId="38056A26">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i w:val="0"/>
          <w:iCs w:val="0"/>
          <w:caps w:val="0"/>
          <w:color w:val="000000"/>
          <w:spacing w:val="0"/>
          <w:sz w:val="32"/>
          <w:szCs w:val="32"/>
          <w:shd w:val="clear" w:fill="FFFFFF"/>
          <w:lang w:val="en-US" w:eastAsia="zh-CN"/>
        </w:rPr>
        <w:t>二、主动公开政府信息情况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2299"/>
        <w:gridCol w:w="1786"/>
        <w:gridCol w:w="1950"/>
        <w:gridCol w:w="2095"/>
      </w:tblGrid>
      <w:tr w14:paraId="22AB69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C09D471">
            <w:pPr>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第二十条第（一）项</w:t>
            </w:r>
          </w:p>
        </w:tc>
      </w:tr>
      <w:tr w14:paraId="2546D5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4E42CF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信息内容</w:t>
            </w:r>
          </w:p>
        </w:tc>
        <w:tc>
          <w:tcPr>
            <w:tcW w:w="1786"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CA82955">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本年制发件数</w:t>
            </w:r>
          </w:p>
        </w:tc>
        <w:tc>
          <w:tcPr>
            <w:tcW w:w="19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AF3CFAF">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本年废止件数</w:t>
            </w:r>
          </w:p>
        </w:tc>
        <w:tc>
          <w:tcPr>
            <w:tcW w:w="20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A3D6D7E">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现行有效件数</w:t>
            </w:r>
          </w:p>
        </w:tc>
      </w:tr>
      <w:tr w14:paraId="5F9FC9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 w:hRule="atLeast"/>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05C0A49">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规章</w:t>
            </w:r>
          </w:p>
        </w:tc>
        <w:tc>
          <w:tcPr>
            <w:tcW w:w="1786"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A9F01B5">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9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B8C8AF7">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20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B77395C">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599FC9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A200077">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行政规范性文件</w:t>
            </w:r>
          </w:p>
        </w:tc>
        <w:tc>
          <w:tcPr>
            <w:tcW w:w="1786"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9BD63B0">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9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87ED32F">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20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DE81845">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39FFA8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28F177A">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第二十条第（五）项</w:t>
            </w:r>
          </w:p>
        </w:tc>
      </w:tr>
      <w:tr w14:paraId="2E80AE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E84E394">
            <w:pPr>
              <w:tabs>
                <w:tab w:val="left" w:pos="234"/>
                <w:tab w:val="center" w:pos="1134"/>
              </w:tabs>
              <w:ind w:firstLine="321" w:firstLineChars="1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ab/>
            </w:r>
            <w:r>
              <w:rPr>
                <w:rFonts w:hint="eastAsia" w:ascii="仿宋_GB2312" w:hAnsi="仿宋_GB2312" w:eastAsia="仿宋_GB2312" w:cs="仿宋_GB2312"/>
                <w:b/>
                <w:bCs/>
                <w:sz w:val="32"/>
                <w:szCs w:val="32"/>
              </w:rPr>
              <w:t>信息内容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793AB6A">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本年处理决定数量</w:t>
            </w:r>
          </w:p>
        </w:tc>
      </w:tr>
      <w:tr w14:paraId="28406C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5F040D6">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行政许可</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EECC8F7">
            <w:pPr>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0</w:t>
            </w:r>
          </w:p>
        </w:tc>
      </w:tr>
      <w:tr w14:paraId="2E5212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5F12024">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第二十条第（六）项</w:t>
            </w:r>
          </w:p>
        </w:tc>
      </w:tr>
      <w:tr w14:paraId="017C37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16BD143">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信息内容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4136136">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本年处理决定数量</w:t>
            </w:r>
          </w:p>
        </w:tc>
      </w:tr>
      <w:tr w14:paraId="369FEC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3246920">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行政处罚</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2CEFE74">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0086C1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64B5936">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行政强制</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2D578D4">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4D834F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1527D43">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第二十条第（八）项</w:t>
            </w:r>
          </w:p>
        </w:tc>
      </w:tr>
      <w:tr w14:paraId="5ED166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333E006">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信息内容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1507528">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本年收费金额（单位：万元）</w:t>
            </w:r>
          </w:p>
        </w:tc>
      </w:tr>
      <w:tr w14:paraId="7B2738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89A2F3E">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行政事业性收费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17BF570">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14:paraId="736E1A8C">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80" w:lineRule="exact"/>
        <w:ind w:left="0" w:right="0" w:firstLine="640" w:firstLineChars="200"/>
        <w:textAlignment w:val="auto"/>
        <w:rPr>
          <w:rFonts w:hint="eastAsia" w:ascii="仿宋_GB2312" w:hAnsi="仿宋_GB2312" w:eastAsia="仿宋_GB2312" w:cs="仿宋_GB2312"/>
          <w:color w:val="FF0000"/>
          <w:spacing w:val="0"/>
          <w:sz w:val="32"/>
          <w:szCs w:val="32"/>
        </w:rPr>
      </w:pPr>
    </w:p>
    <w:p w14:paraId="2F9457ED">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8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kern w:val="2"/>
          <w:sz w:val="32"/>
          <w:szCs w:val="32"/>
          <w:lang w:val="en-US" w:eastAsia="zh-CN" w:bidi="ar-SA"/>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853"/>
        <w:gridCol w:w="1174"/>
        <w:gridCol w:w="2215"/>
        <w:gridCol w:w="547"/>
        <w:gridCol w:w="557"/>
        <w:gridCol w:w="557"/>
        <w:gridCol w:w="665"/>
        <w:gridCol w:w="646"/>
        <w:gridCol w:w="557"/>
        <w:gridCol w:w="745"/>
      </w:tblGrid>
      <w:tr w14:paraId="7D47EE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10" w:type="dxa"/>
            <w:gridSpan w:val="3"/>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09DEC5">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（本列数据的勾稽关系为：第一项加第二项之和，等于第三项加第四项之和）</w:t>
            </w:r>
          </w:p>
        </w:tc>
        <w:tc>
          <w:tcPr>
            <w:tcW w:w="4545" w:type="dxa"/>
            <w:gridSpan w:val="7"/>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B90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申请人情况</w:t>
            </w:r>
          </w:p>
        </w:tc>
      </w:tr>
      <w:tr w14:paraId="38E914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28ABB3">
            <w:pPr>
              <w:jc w:val="center"/>
              <w:rPr>
                <w:rFonts w:hint="eastAsia" w:ascii="仿宋_GB2312" w:hAnsi="仿宋_GB2312" w:eastAsia="仿宋_GB2312" w:cs="仿宋_GB2312"/>
                <w:b/>
                <w:bCs/>
                <w:sz w:val="32"/>
                <w:szCs w:val="32"/>
              </w:rPr>
            </w:pPr>
          </w:p>
        </w:tc>
        <w:tc>
          <w:tcPr>
            <w:tcW w:w="55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0748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自然人</w:t>
            </w:r>
          </w:p>
        </w:tc>
        <w:tc>
          <w:tcPr>
            <w:tcW w:w="3135"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37740B">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法人或其他组织</w:t>
            </w:r>
          </w:p>
        </w:tc>
        <w:tc>
          <w:tcPr>
            <w:tcW w:w="85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946238">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总计</w:t>
            </w:r>
          </w:p>
        </w:tc>
      </w:tr>
      <w:tr w14:paraId="23CA3A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25"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BF7773">
            <w:pPr>
              <w:jc w:val="center"/>
              <w:rPr>
                <w:rFonts w:hint="eastAsia" w:ascii="仿宋_GB2312" w:hAnsi="仿宋_GB2312" w:eastAsia="仿宋_GB2312" w:cs="仿宋_GB2312"/>
                <w:b/>
                <w:bCs/>
                <w:sz w:val="32"/>
                <w:szCs w:val="32"/>
              </w:rPr>
            </w:pPr>
          </w:p>
        </w:tc>
        <w:tc>
          <w:tcPr>
            <w:tcW w:w="55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393B0A">
            <w:pPr>
              <w:jc w:val="center"/>
              <w:rPr>
                <w:rFonts w:hint="eastAsia" w:ascii="仿宋_GB2312" w:hAnsi="仿宋_GB2312" w:eastAsia="仿宋_GB2312" w:cs="仿宋_GB2312"/>
                <w:sz w:val="32"/>
                <w:szCs w:val="32"/>
              </w:rPr>
            </w:pP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9330D8">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商业企业</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E9DCB6">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科研机构</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591F56">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社会公益组织</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EF4D07">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法律服务机构</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5B390D">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w:t>
            </w:r>
          </w:p>
        </w:tc>
        <w:tc>
          <w:tcPr>
            <w:tcW w:w="85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BE2479">
            <w:pPr>
              <w:jc w:val="center"/>
              <w:rPr>
                <w:rFonts w:hint="eastAsia" w:ascii="仿宋_GB2312" w:hAnsi="仿宋_GB2312" w:eastAsia="仿宋_GB2312" w:cs="仿宋_GB2312"/>
                <w:sz w:val="32"/>
                <w:szCs w:val="32"/>
              </w:rPr>
            </w:pPr>
          </w:p>
        </w:tc>
      </w:tr>
      <w:tr w14:paraId="4748D8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CFF5EF">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bookmarkStart w:id="0" w:name="_Hlk66973412"/>
            <w:r>
              <w:rPr>
                <w:rFonts w:hint="eastAsia" w:ascii="仿宋_GB2312" w:hAnsi="仿宋_GB2312" w:eastAsia="仿宋_GB2312" w:cs="仿宋_GB2312"/>
                <w:b/>
                <w:bCs/>
                <w:sz w:val="32"/>
                <w:szCs w:val="32"/>
              </w:rPr>
              <w:t>本年新收政府信息公开申请数量</w:t>
            </w:r>
            <w:bookmarkEnd w:id="0"/>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E45C41">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22DAB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0B284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10FB4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D5B2F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4DDF3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C75ED2">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19BBFD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51B59F">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二、上年结转政府信息公开申请数量</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86E6A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059EF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134E5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1D8F5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D10F9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7473E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BA5D1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445E39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2C5536">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三、本年度办理结果</w:t>
            </w: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FFAD3A">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（一）予以公开</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D42C8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AA932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DB137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D3447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6CFDA4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E01CC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464636">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6065CF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E15C27">
            <w:pPr>
              <w:jc w:val="center"/>
              <w:rPr>
                <w:rFonts w:hint="eastAsia" w:ascii="仿宋_GB2312" w:hAnsi="仿宋_GB2312" w:eastAsia="仿宋_GB2312" w:cs="仿宋_GB2312"/>
                <w:b/>
                <w:bCs/>
                <w:sz w:val="32"/>
                <w:szCs w:val="32"/>
              </w:rPr>
            </w:pP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EB9209">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（二）部分公开（</w:t>
            </w:r>
            <w:bookmarkStart w:id="1" w:name="_Hlk66973981"/>
            <w:r>
              <w:rPr>
                <w:rFonts w:hint="eastAsia" w:ascii="仿宋_GB2312" w:hAnsi="仿宋_GB2312" w:eastAsia="仿宋_GB2312" w:cs="仿宋_GB2312"/>
                <w:b/>
                <w:bCs/>
                <w:sz w:val="32"/>
                <w:szCs w:val="32"/>
              </w:rPr>
              <w:t>区分处理的，只计这一情形，不计其他情形</w:t>
            </w:r>
            <w:bookmarkEnd w:id="1"/>
            <w:r>
              <w:rPr>
                <w:rFonts w:hint="eastAsia" w:ascii="仿宋_GB2312" w:hAnsi="仿宋_GB2312" w:eastAsia="仿宋_GB2312" w:cs="仿宋_GB2312"/>
                <w:b/>
                <w:bCs/>
                <w:sz w:val="32"/>
                <w:szCs w:val="32"/>
              </w:rPr>
              <w:t>）</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32AD0B">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B3578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6338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6D3AE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449CD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6B977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14E931">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7027FA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7C5408">
            <w:pPr>
              <w:jc w:val="center"/>
              <w:rPr>
                <w:rFonts w:hint="eastAsia" w:ascii="仿宋_GB2312" w:hAnsi="仿宋_GB2312" w:eastAsia="仿宋_GB2312" w:cs="仿宋_GB2312"/>
                <w:b/>
                <w:bCs/>
                <w:sz w:val="32"/>
                <w:szCs w:val="32"/>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29EAAC6">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（三）不予公开</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26C3515">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1.属于国家秘密</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CCF663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7C9CB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74335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92E4A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50E4B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BA32A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E692B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58D725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7503E3">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C746D2">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12483A">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bookmarkStart w:id="2" w:name="_Hlk66974104"/>
            <w:r>
              <w:rPr>
                <w:rFonts w:hint="eastAsia" w:ascii="仿宋_GB2312" w:hAnsi="仿宋_GB2312" w:eastAsia="仿宋_GB2312" w:cs="仿宋_GB2312"/>
                <w:b/>
                <w:bCs/>
                <w:sz w:val="32"/>
                <w:szCs w:val="32"/>
              </w:rPr>
              <w:t>其他法律行政法规禁止公开</w:t>
            </w:r>
            <w:bookmarkEnd w:id="2"/>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CD9773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269C3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F0D32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137F4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01366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47B81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E9093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769BF2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48AF06">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C2AED1">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F76DC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3.危及“三安全一稳定”</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15735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A36B5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6EFD0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92E0B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FA6B8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80542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3F07F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1610E6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E4AA68">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428965">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775647">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bookmarkStart w:id="3" w:name="_Hlk66974290"/>
            <w:r>
              <w:rPr>
                <w:rFonts w:hint="eastAsia" w:ascii="仿宋_GB2312" w:hAnsi="仿宋_GB2312" w:eastAsia="仿宋_GB2312" w:cs="仿宋_GB2312"/>
                <w:b/>
                <w:bCs/>
                <w:sz w:val="32"/>
                <w:szCs w:val="32"/>
              </w:rPr>
              <w:t>保护第三方合法权益</w:t>
            </w:r>
            <w:bookmarkEnd w:id="3"/>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1EA2D6">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F2C9E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9FFF9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6F874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1AE3D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52BA3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9BF150">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62FFD3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9BD2BC">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ED7187">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E7C4EC">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5.属于三类内部事务信息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22B4CF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A6000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374CD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7A950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14180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E01CB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47550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1F04F2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3B851F">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3E9318">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F5FB2A">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w:t>
            </w:r>
            <w:bookmarkStart w:id="4" w:name="_Hlk66974555"/>
            <w:r>
              <w:rPr>
                <w:rFonts w:hint="eastAsia" w:ascii="仿宋_GB2312" w:hAnsi="仿宋_GB2312" w:eastAsia="仿宋_GB2312" w:cs="仿宋_GB2312"/>
                <w:b/>
                <w:bCs/>
                <w:sz w:val="32"/>
                <w:szCs w:val="32"/>
              </w:rPr>
              <w:t>属于四类过程性信息</w:t>
            </w:r>
            <w:bookmarkEnd w:id="4"/>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631D71">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A2A1A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F73BE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6A732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10355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9B99FE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28C18D">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01DCB9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469373">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40D70A">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5EA37D">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7.属于行政执法案卷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9ED0D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39D30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6F0A0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4A9E8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392E6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ED721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F8F92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51F193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696261">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D946DC">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E9FE44">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w:t>
            </w:r>
            <w:bookmarkStart w:id="5" w:name="_Hlk66975211"/>
            <w:r>
              <w:rPr>
                <w:rFonts w:hint="eastAsia" w:ascii="仿宋_GB2312" w:hAnsi="仿宋_GB2312" w:eastAsia="仿宋_GB2312" w:cs="仿宋_GB2312"/>
                <w:b/>
                <w:bCs/>
                <w:sz w:val="32"/>
                <w:szCs w:val="32"/>
              </w:rPr>
              <w:t>属于行政查询事项</w:t>
            </w:r>
            <w:bookmarkEnd w:id="5"/>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5F88C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5E350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71307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5D697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44D7B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35A67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CC31D6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51FEBA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F5BAD">
            <w:pPr>
              <w:jc w:val="center"/>
              <w:rPr>
                <w:rFonts w:hint="eastAsia" w:ascii="仿宋_GB2312" w:hAnsi="仿宋_GB2312" w:eastAsia="仿宋_GB2312" w:cs="仿宋_GB2312"/>
                <w:b/>
                <w:bCs/>
                <w:sz w:val="32"/>
                <w:szCs w:val="32"/>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A62BFC">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（四）无法提供</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538664">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1.本机关不掌握相关政府信息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187EE5">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0770A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A8CBE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DD27E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50349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E47C8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4D51B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2D7253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1ADFD3">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4C693E">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8FA136">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bookmarkStart w:id="6" w:name="_Hlk66975392"/>
            <w:r>
              <w:rPr>
                <w:rFonts w:hint="eastAsia" w:ascii="仿宋_GB2312" w:hAnsi="仿宋_GB2312" w:eastAsia="仿宋_GB2312" w:cs="仿宋_GB2312"/>
                <w:b/>
                <w:bCs/>
                <w:sz w:val="32"/>
                <w:szCs w:val="32"/>
              </w:rPr>
              <w:t>没有现成信息需要另行制作</w:t>
            </w:r>
            <w:bookmarkEnd w:id="6"/>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8015E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E5196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70CE0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F2906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D4B17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7F3C70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9C409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002A69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9ABB21">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77A000">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369BAB">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bookmarkStart w:id="7" w:name="_Hlk66975466"/>
            <w:r>
              <w:rPr>
                <w:rFonts w:hint="eastAsia" w:ascii="仿宋_GB2312" w:hAnsi="仿宋_GB2312" w:eastAsia="仿宋_GB2312" w:cs="仿宋_GB2312"/>
                <w:b/>
                <w:bCs/>
                <w:sz w:val="32"/>
                <w:szCs w:val="32"/>
              </w:rPr>
              <w:t>补正后申请内容仍不明确</w:t>
            </w:r>
            <w:bookmarkEnd w:id="7"/>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630E5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24082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FE129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025B4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94851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B9D08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AE790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24AEBE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31BBC4">
            <w:pPr>
              <w:jc w:val="center"/>
              <w:rPr>
                <w:rFonts w:hint="eastAsia" w:ascii="仿宋_GB2312" w:hAnsi="仿宋_GB2312" w:eastAsia="仿宋_GB2312" w:cs="仿宋_GB2312"/>
                <w:b/>
                <w:bCs/>
                <w:sz w:val="32"/>
                <w:szCs w:val="32"/>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4A4AD4">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（五）不予处理</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AC555B">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bookmarkStart w:id="8" w:name="_Hlk66975537"/>
            <w:r>
              <w:rPr>
                <w:rFonts w:hint="eastAsia" w:ascii="仿宋_GB2312" w:hAnsi="仿宋_GB2312" w:eastAsia="仿宋_GB2312" w:cs="仿宋_GB2312"/>
                <w:b/>
                <w:bCs/>
                <w:sz w:val="32"/>
                <w:szCs w:val="32"/>
              </w:rPr>
              <w:t>信访举报投诉类申请</w:t>
            </w:r>
            <w:bookmarkEnd w:id="8"/>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D1D4A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F5415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00D1F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0B9E6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8BE25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CB2D9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43334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3D3E5C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26E269">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37F671">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2FFD18">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2.重复申请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75C21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3861E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04415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8C0B8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6080F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FD601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F3757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71641C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751BE1">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03CC56">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07CD1C">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3.要求提供公开出版物</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80CD8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6C85ED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382F2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ED544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50A5B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8C80E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71E6C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6A95DB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C07342">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B37D1A">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4D9F67">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4.无正当理由大量反复申请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6DE95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9E875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F1FDD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9298A3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99F25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50CE9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DDD3C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58E224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8E6E3E">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D8D07A">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3B3B1C">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5.要求行政机关确认或重新出具已获取信息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7D3AE7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2D42C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4CC10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09832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8A9F8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81F83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DC12D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43953C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6CD9210">
            <w:pPr>
              <w:jc w:val="center"/>
              <w:rPr>
                <w:rFonts w:hint="eastAsia" w:ascii="仿宋_GB2312" w:hAnsi="仿宋_GB2312" w:eastAsia="仿宋_GB2312" w:cs="仿宋_GB2312"/>
                <w:b/>
                <w:bCs/>
                <w:sz w:val="32"/>
                <w:szCs w:val="32"/>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0FF2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（六）其他处理</w:t>
            </w: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33F67C2E">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1.申请人无正当理由逾期不补正、行政机关不再处理其政府信息公开申请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B9D5C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EB076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9F8BB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BCB1B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DD9C6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E3489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AD769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30E78C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CDD7E0">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34ADF3">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14EBFE09">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2.申请人逾期未按收费通知要求缴纳费用、行政机关不再处理其政府信息公开申请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04EA3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EF04F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C05E4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239C2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38721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7C3E9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11134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351E43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D9ED7F">
            <w:pPr>
              <w:jc w:val="center"/>
              <w:rPr>
                <w:rFonts w:hint="eastAsia" w:ascii="仿宋_GB2312" w:hAnsi="仿宋_GB2312" w:eastAsia="仿宋_GB2312" w:cs="仿宋_GB2312"/>
                <w:b/>
                <w:bCs/>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A1C090">
            <w:pPr>
              <w:jc w:val="center"/>
              <w:rPr>
                <w:rFonts w:hint="eastAsia" w:ascii="仿宋_GB2312" w:hAnsi="仿宋_GB2312" w:eastAsia="仿宋_GB2312" w:cs="仿宋_GB2312"/>
                <w:b/>
                <w:bCs/>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3C3E5938">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3.其他</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13433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43192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A971D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D5806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6C5A0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69282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19AC6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2F457D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CF3D0A">
            <w:pPr>
              <w:jc w:val="center"/>
              <w:rPr>
                <w:rFonts w:hint="eastAsia" w:ascii="仿宋_GB2312" w:hAnsi="仿宋_GB2312" w:eastAsia="仿宋_GB2312" w:cs="仿宋_GB2312"/>
                <w:b/>
                <w:bCs/>
                <w:sz w:val="32"/>
                <w:szCs w:val="32"/>
              </w:rPr>
            </w:pP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AE7D9D">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（七）总计</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04D1F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137F6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FDFC6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D2940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2E5F0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B04A8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760CA0">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033F09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641851">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四、结转下年度继续办理</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988B6D">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F4E1B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E29C9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BF953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B552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F8C54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4D563E">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14:paraId="301109F6">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8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kern w:val="2"/>
          <w:sz w:val="32"/>
          <w:szCs w:val="32"/>
          <w:lang w:val="en-US" w:eastAsia="zh-CN" w:bidi="ar-SA"/>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532"/>
        <w:gridCol w:w="563"/>
        <w:gridCol w:w="585"/>
        <w:gridCol w:w="563"/>
        <w:gridCol w:w="532"/>
        <w:gridCol w:w="541"/>
        <w:gridCol w:w="574"/>
        <w:gridCol w:w="574"/>
        <w:gridCol w:w="574"/>
        <w:gridCol w:w="585"/>
        <w:gridCol w:w="574"/>
        <w:gridCol w:w="574"/>
        <w:gridCol w:w="574"/>
        <w:gridCol w:w="574"/>
        <w:gridCol w:w="597"/>
      </w:tblGrid>
      <w:tr w14:paraId="5796D3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2674"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E73557">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行政复议</w:t>
            </w:r>
          </w:p>
        </w:tc>
        <w:tc>
          <w:tcPr>
            <w:tcW w:w="5842"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C333E29">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行政诉讼</w:t>
            </w:r>
          </w:p>
        </w:tc>
      </w:tr>
      <w:tr w14:paraId="2210FF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516"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765730A5">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结果</w:t>
            </w:r>
          </w:p>
          <w:p w14:paraId="49EE6E37">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维持</w:t>
            </w:r>
          </w:p>
        </w:tc>
        <w:tc>
          <w:tcPr>
            <w:tcW w:w="570"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14:paraId="580613F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结果纠正</w:t>
            </w:r>
          </w:p>
        </w:tc>
        <w:tc>
          <w:tcPr>
            <w:tcW w:w="598"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DFD47C7">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其他结果</w:t>
            </w:r>
          </w:p>
        </w:tc>
        <w:tc>
          <w:tcPr>
            <w:tcW w:w="57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8B114B1">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尚未</w:t>
            </w:r>
          </w:p>
          <w:p w14:paraId="478C586C">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审结</w:t>
            </w:r>
          </w:p>
        </w:tc>
        <w:tc>
          <w:tcPr>
            <w:tcW w:w="42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9C74F28">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总</w:t>
            </w:r>
          </w:p>
          <w:p w14:paraId="2F6A997E">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计</w:t>
            </w:r>
          </w:p>
        </w:tc>
        <w:tc>
          <w:tcPr>
            <w:tcW w:w="2893"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B786B05">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未经复议直接起诉</w:t>
            </w:r>
          </w:p>
        </w:tc>
        <w:tc>
          <w:tcPr>
            <w:tcW w:w="2949"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C55ADC3">
            <w:pPr>
              <w:jc w:val="center"/>
              <w:rPr>
                <w:rFonts w:hint="eastAsia" w:ascii="仿宋_GB2312" w:hAnsi="仿宋_GB2312" w:eastAsia="仿宋_GB2312" w:cs="仿宋_GB2312"/>
                <w:b/>
                <w:bCs/>
                <w:sz w:val="32"/>
                <w:szCs w:val="32"/>
              </w:rPr>
            </w:pPr>
            <w:bookmarkStart w:id="9" w:name="_Hlk67039688"/>
            <w:r>
              <w:rPr>
                <w:rFonts w:hint="eastAsia" w:ascii="仿宋_GB2312" w:hAnsi="仿宋_GB2312" w:eastAsia="仿宋_GB2312" w:cs="仿宋_GB2312"/>
                <w:b/>
                <w:bCs/>
                <w:sz w:val="32"/>
                <w:szCs w:val="32"/>
              </w:rPr>
              <w:t>复议后起诉</w:t>
            </w:r>
            <w:bookmarkEnd w:id="9"/>
          </w:p>
        </w:tc>
      </w:tr>
      <w:tr w14:paraId="25BE6B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516"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36EAFBB1">
            <w:pPr>
              <w:jc w:val="center"/>
              <w:rPr>
                <w:rFonts w:hint="eastAsia" w:ascii="仿宋_GB2312" w:hAnsi="仿宋_GB2312" w:eastAsia="仿宋_GB2312" w:cs="仿宋_GB2312"/>
                <w:b/>
                <w:bCs/>
                <w:sz w:val="32"/>
                <w:szCs w:val="32"/>
              </w:rPr>
            </w:pPr>
          </w:p>
        </w:tc>
        <w:tc>
          <w:tcPr>
            <w:tcW w:w="570"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14:paraId="421AF176">
            <w:pPr>
              <w:jc w:val="center"/>
              <w:rPr>
                <w:rFonts w:hint="eastAsia" w:ascii="仿宋_GB2312" w:hAnsi="仿宋_GB2312" w:eastAsia="仿宋_GB2312" w:cs="仿宋_GB2312"/>
                <w:b/>
                <w:bCs/>
                <w:sz w:val="32"/>
                <w:szCs w:val="32"/>
              </w:rPr>
            </w:pPr>
          </w:p>
        </w:tc>
        <w:tc>
          <w:tcPr>
            <w:tcW w:w="598"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128A8DC">
            <w:pPr>
              <w:jc w:val="center"/>
              <w:rPr>
                <w:rFonts w:hint="eastAsia" w:ascii="仿宋_GB2312" w:hAnsi="仿宋_GB2312" w:eastAsia="仿宋_GB2312" w:cs="仿宋_GB2312"/>
                <w:b/>
                <w:bCs/>
                <w:sz w:val="32"/>
                <w:szCs w:val="32"/>
              </w:rPr>
            </w:pPr>
          </w:p>
        </w:tc>
        <w:tc>
          <w:tcPr>
            <w:tcW w:w="57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1BF8344">
            <w:pPr>
              <w:jc w:val="center"/>
              <w:rPr>
                <w:rFonts w:hint="eastAsia" w:ascii="仿宋_GB2312" w:hAnsi="仿宋_GB2312" w:eastAsia="仿宋_GB2312" w:cs="仿宋_GB2312"/>
                <w:b/>
                <w:bCs/>
                <w:sz w:val="32"/>
                <w:szCs w:val="32"/>
              </w:rPr>
            </w:pPr>
          </w:p>
        </w:tc>
        <w:tc>
          <w:tcPr>
            <w:tcW w:w="42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D27159E">
            <w:pPr>
              <w:jc w:val="center"/>
              <w:rPr>
                <w:rFonts w:hint="eastAsia" w:ascii="仿宋_GB2312" w:hAnsi="仿宋_GB2312" w:eastAsia="仿宋_GB2312" w:cs="仿宋_GB2312"/>
                <w:b/>
                <w:bCs/>
                <w:sz w:val="32"/>
                <w:szCs w:val="32"/>
              </w:rPr>
            </w:pPr>
          </w:p>
        </w:tc>
        <w:tc>
          <w:tcPr>
            <w:tcW w:w="543" w:type="dxa"/>
            <w:tcBorders>
              <w:top w:val="nil"/>
              <w:left w:val="nil"/>
              <w:bottom w:val="single" w:color="auto" w:sz="6" w:space="0"/>
              <w:right w:val="single" w:color="auto" w:sz="6" w:space="0"/>
            </w:tcBorders>
            <w:noWrap w:val="0"/>
            <w:tcMar>
              <w:left w:w="105" w:type="dxa"/>
              <w:bottom w:w="0" w:type="dxa"/>
              <w:right w:w="105" w:type="dxa"/>
            </w:tcMar>
            <w:vAlign w:val="center"/>
          </w:tcPr>
          <w:p w14:paraId="3459E040">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结果维持</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DC05A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结果纠正</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FCD5E10">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w:t>
            </w:r>
          </w:p>
          <w:p w14:paraId="0E449BAF">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结果</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12169A0">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尚未</w:t>
            </w:r>
          </w:p>
          <w:p w14:paraId="4F131865">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审结</w:t>
            </w:r>
          </w:p>
        </w:tc>
        <w:tc>
          <w:tcPr>
            <w:tcW w:w="598"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B97C196">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总计</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F7E6BF6">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结果维持</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4C75DF7">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结果</w:t>
            </w:r>
          </w:p>
          <w:p w14:paraId="097AD75D">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纠正</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18A5BEA">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w:t>
            </w:r>
          </w:p>
          <w:p w14:paraId="30CD78A5">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结果</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DB7CE87">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尚未审结</w:t>
            </w:r>
          </w:p>
        </w:tc>
        <w:tc>
          <w:tcPr>
            <w:tcW w:w="613"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D936D6A">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总计</w:t>
            </w:r>
          </w:p>
        </w:tc>
      </w:tr>
      <w:tr w14:paraId="3873EE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516"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16B5DC1E">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70" w:type="dxa"/>
            <w:tcBorders>
              <w:top w:val="nil"/>
              <w:left w:val="nil"/>
              <w:bottom w:val="single" w:color="auto" w:sz="6" w:space="0"/>
              <w:right w:val="single" w:color="auto" w:sz="6" w:space="0"/>
            </w:tcBorders>
            <w:noWrap w:val="0"/>
            <w:tcMar>
              <w:left w:w="105" w:type="dxa"/>
              <w:bottom w:w="0" w:type="dxa"/>
              <w:right w:w="105" w:type="dxa"/>
            </w:tcMar>
            <w:vAlign w:val="center"/>
          </w:tcPr>
          <w:p w14:paraId="6E9670C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noWrap w:val="0"/>
            <w:tcMar>
              <w:left w:w="105" w:type="dxa"/>
              <w:bottom w:w="0" w:type="dxa"/>
              <w:right w:w="105" w:type="dxa"/>
            </w:tcMar>
            <w:vAlign w:val="center"/>
          </w:tcPr>
          <w:p w14:paraId="0FEEBC5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70" w:type="dxa"/>
            <w:tcBorders>
              <w:top w:val="nil"/>
              <w:left w:val="nil"/>
              <w:bottom w:val="single" w:color="auto" w:sz="6" w:space="0"/>
              <w:right w:val="single" w:color="auto" w:sz="6" w:space="0"/>
            </w:tcBorders>
            <w:noWrap w:val="0"/>
            <w:tcMar>
              <w:left w:w="105" w:type="dxa"/>
              <w:bottom w:w="0" w:type="dxa"/>
              <w:right w:w="105" w:type="dxa"/>
            </w:tcMar>
            <w:vAlign w:val="center"/>
          </w:tcPr>
          <w:p w14:paraId="0C0A82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20" w:type="dxa"/>
            <w:tcBorders>
              <w:top w:val="nil"/>
              <w:left w:val="nil"/>
              <w:bottom w:val="single" w:color="auto" w:sz="6" w:space="0"/>
              <w:right w:val="single" w:color="auto" w:sz="6" w:space="0"/>
            </w:tcBorders>
            <w:noWrap w:val="0"/>
            <w:tcMar>
              <w:left w:w="105" w:type="dxa"/>
              <w:bottom w:w="0" w:type="dxa"/>
              <w:right w:w="105" w:type="dxa"/>
            </w:tcMar>
            <w:vAlign w:val="center"/>
          </w:tcPr>
          <w:p w14:paraId="4230DCF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43" w:type="dxa"/>
            <w:tcBorders>
              <w:top w:val="nil"/>
              <w:left w:val="nil"/>
              <w:bottom w:val="single" w:color="auto" w:sz="6" w:space="0"/>
              <w:right w:val="single" w:color="auto" w:sz="6" w:space="0"/>
            </w:tcBorders>
            <w:noWrap w:val="0"/>
            <w:tcMar>
              <w:left w:w="105" w:type="dxa"/>
              <w:bottom w:w="0" w:type="dxa"/>
              <w:right w:w="105" w:type="dxa"/>
            </w:tcMar>
            <w:vAlign w:val="center"/>
          </w:tcPr>
          <w:p w14:paraId="59D13F8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06549E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8ECF90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196C11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98" w:type="dxa"/>
            <w:tcBorders>
              <w:top w:val="nil"/>
              <w:left w:val="nil"/>
              <w:bottom w:val="single" w:color="auto" w:sz="6" w:space="0"/>
              <w:right w:val="single" w:color="auto" w:sz="6" w:space="0"/>
            </w:tcBorders>
            <w:noWrap w:val="0"/>
            <w:tcMar>
              <w:left w:w="105" w:type="dxa"/>
              <w:bottom w:w="0" w:type="dxa"/>
              <w:right w:w="105" w:type="dxa"/>
            </w:tcMar>
            <w:vAlign w:val="center"/>
          </w:tcPr>
          <w:p w14:paraId="6D405E7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135A4F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3FB8995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DCFFEC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37933E9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13" w:type="dxa"/>
            <w:tcBorders>
              <w:top w:val="nil"/>
              <w:left w:val="nil"/>
              <w:bottom w:val="single" w:color="auto" w:sz="6" w:space="0"/>
              <w:right w:val="single" w:color="auto" w:sz="6" w:space="0"/>
            </w:tcBorders>
            <w:noWrap w:val="0"/>
            <w:tcMar>
              <w:left w:w="105" w:type="dxa"/>
              <w:bottom w:w="0" w:type="dxa"/>
              <w:right w:w="105" w:type="dxa"/>
            </w:tcMar>
            <w:vAlign w:val="center"/>
          </w:tcPr>
          <w:p w14:paraId="2223759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bl>
    <w:p w14:paraId="20296192">
      <w:pPr>
        <w:keepNext w:val="0"/>
        <w:keepLines w:val="0"/>
        <w:pageBreakBefore w:val="0"/>
        <w:widowControl/>
        <w:suppressLineNumbers w:val="0"/>
        <w:kinsoku/>
        <w:overflowPunct/>
        <w:topLinePunct w:val="0"/>
        <w:autoSpaceDE/>
        <w:autoSpaceDN/>
        <w:bidi w:val="0"/>
        <w:adjustRightInd/>
        <w:snapToGrid/>
        <w:spacing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五、政府信息公开工作存在的主要问题及改进情况</w:t>
      </w:r>
    </w:p>
    <w:p w14:paraId="1F123D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（一）主要问题</w:t>
      </w:r>
    </w:p>
    <w:p w14:paraId="2267B3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一是依申请公开服务质量需加强，响应速度和服务水平需进一步提高；二是平台活跃度、互动性、影响力不够；三是工作人员专业水平有待提高。</w:t>
      </w:r>
    </w:p>
    <w:p w14:paraId="1B7ACA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（二）改进情况</w:t>
      </w:r>
    </w:p>
    <w:p w14:paraId="346083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　一是健全反馈机制。建立有效的申请反馈流程，及时向申请人通报处理进度，并在答复中最大限度提供详细、准确的信息。二是通过分析平台访问数据，针对性地调整内容策略，提高平台的吸引力和使用率。三是积极参与市区单位组织的各类专业培训，不断深化对相关政策和业务知识的学习。</w:t>
      </w:r>
    </w:p>
    <w:p w14:paraId="34956A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黑体" w:hAnsi="黑体" w:eastAsia="黑体" w:cs="黑体"/>
          <w:sz w:val="32"/>
          <w:szCs w:val="32"/>
        </w:rPr>
        <w:t>六、其他需要报告的事项</w:t>
      </w:r>
    </w:p>
    <w:p w14:paraId="69E25C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1.本年度政府信息公开申请未达到《政府信息公开信息处理费管理办法》（国办函〔2020〕109号）所规定的信息处理费收费标准，故未收取信息处理费。</w:t>
      </w:r>
    </w:p>
    <w:p w14:paraId="54240F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2.落实年度政务公开重点工作情况。扎实做好政务公开基础工作，持续推进基层政务公开标准化、规范化，全面梳理细化相关领域政务公开事项，明确具体事项的公开标准，制作主动公开基本目录清单等，促进街道政务公开工作提质增效。</w:t>
      </w:r>
    </w:p>
    <w:p w14:paraId="17FD55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3.本年度建议提案办理情况。2024年全年接到市人大常委会交办的人大代表建议办理工作0件，收到市政协十一届三次会议提案0件。</w:t>
      </w:r>
    </w:p>
    <w:p w14:paraId="61AF22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highlight w:val="none"/>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highlight w:val="none"/>
          <w:shd w:val="clear" w:fill="FFFFFF"/>
          <w:lang w:val="en-US" w:eastAsia="zh-CN" w:bidi="ar-SA"/>
        </w:rPr>
        <w:t>4</w:t>
      </w:r>
      <w:r>
        <w:rPr>
          <w:rFonts w:hint="default" w:ascii="仿宋_GB2312" w:hAnsi="仿宋_GB2312" w:eastAsia="仿宋_GB2312" w:cs="仿宋_GB2312"/>
          <w:i w:val="0"/>
          <w:iCs w:val="0"/>
          <w:caps w:val="0"/>
          <w:color w:val="000000"/>
          <w:spacing w:val="0"/>
          <w:kern w:val="2"/>
          <w:sz w:val="32"/>
          <w:szCs w:val="32"/>
          <w:highlight w:val="none"/>
          <w:shd w:val="clear" w:fill="FFFFFF"/>
          <w:lang w:val="en-US" w:eastAsia="zh-CN" w:bidi="ar-SA"/>
        </w:rPr>
        <w:t>.街道全力打造“枣庄高新区兴仁街道办事处”公众号这一信息窗口，以图文并茂、生动有趣的推文，深度解读街道政策、展示工作亮点。同时，“兴业仁治”视频号持续推出系列短视频，真实记录街道发展进程。此外，紧密依托高新区政府门户网站，开辟专门板块，将民生保障、社区建设等关键信息集中呈现，确保居民便捷获取，让信息公开更具实效。</w:t>
      </w:r>
    </w:p>
    <w:p w14:paraId="1BE717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highlight w:val="none"/>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highlight w:val="none"/>
          <w:shd w:val="clear" w:fill="FFFFFF"/>
          <w:lang w:val="en-US" w:eastAsia="zh-CN" w:bidi="ar-SA"/>
        </w:rPr>
        <w:t>5.本行政机关政府信息公开工作年度报告数据统计需要说明的事项。本报告中所列数据的统计时限为202</w:t>
      </w:r>
      <w:r>
        <w:rPr>
          <w:rFonts w:hint="eastAsia" w:ascii="仿宋_GB2312" w:hAnsi="仿宋_GB2312" w:eastAsia="仿宋_GB2312" w:cs="仿宋_GB2312"/>
          <w:i w:val="0"/>
          <w:iCs w:val="0"/>
          <w:caps w:val="0"/>
          <w:color w:val="000000"/>
          <w:spacing w:val="0"/>
          <w:kern w:val="2"/>
          <w:sz w:val="32"/>
          <w:szCs w:val="32"/>
          <w:highlight w:val="none"/>
          <w:shd w:val="clear" w:fill="FFFFFF"/>
          <w:lang w:val="en-US" w:eastAsia="zh-CN" w:bidi="ar-SA"/>
        </w:rPr>
        <w:t>4</w:t>
      </w:r>
      <w:r>
        <w:rPr>
          <w:rFonts w:hint="default" w:ascii="仿宋_GB2312" w:hAnsi="仿宋_GB2312" w:eastAsia="仿宋_GB2312" w:cs="仿宋_GB2312"/>
          <w:i w:val="0"/>
          <w:iCs w:val="0"/>
          <w:caps w:val="0"/>
          <w:color w:val="000000"/>
          <w:spacing w:val="0"/>
          <w:kern w:val="2"/>
          <w:sz w:val="32"/>
          <w:szCs w:val="32"/>
          <w:highlight w:val="none"/>
          <w:shd w:val="clear" w:fill="FFFFFF"/>
          <w:lang w:val="en-US" w:eastAsia="zh-CN" w:bidi="ar-SA"/>
        </w:rPr>
        <w:t>年1月1日至202</w:t>
      </w:r>
      <w:r>
        <w:rPr>
          <w:rFonts w:hint="eastAsia" w:ascii="仿宋_GB2312" w:hAnsi="仿宋_GB2312" w:eastAsia="仿宋_GB2312" w:cs="仿宋_GB2312"/>
          <w:i w:val="0"/>
          <w:iCs w:val="0"/>
          <w:caps w:val="0"/>
          <w:color w:val="000000"/>
          <w:spacing w:val="0"/>
          <w:kern w:val="2"/>
          <w:sz w:val="32"/>
          <w:szCs w:val="32"/>
          <w:highlight w:val="none"/>
          <w:shd w:val="clear" w:fill="FFFFFF"/>
          <w:lang w:val="en-US" w:eastAsia="zh-CN" w:bidi="ar-SA"/>
        </w:rPr>
        <w:t>4</w:t>
      </w:r>
      <w:r>
        <w:rPr>
          <w:rFonts w:hint="default" w:ascii="仿宋_GB2312" w:hAnsi="仿宋_GB2312" w:eastAsia="仿宋_GB2312" w:cs="仿宋_GB2312"/>
          <w:i w:val="0"/>
          <w:iCs w:val="0"/>
          <w:caps w:val="0"/>
          <w:color w:val="000000"/>
          <w:spacing w:val="0"/>
          <w:kern w:val="2"/>
          <w:sz w:val="32"/>
          <w:szCs w:val="32"/>
          <w:highlight w:val="none"/>
          <w:shd w:val="clear" w:fill="FFFFFF"/>
          <w:lang w:val="en-US" w:eastAsia="zh-CN" w:bidi="ar-SA"/>
        </w:rPr>
        <w:t>年12月31日。</w:t>
      </w:r>
    </w:p>
    <w:p w14:paraId="040CD4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highlight w:val="none"/>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highlight w:val="none"/>
          <w:shd w:val="clear" w:fill="FFFFFF"/>
          <w:lang w:val="en-US" w:eastAsia="zh-CN" w:bidi="ar-SA"/>
        </w:rPr>
        <w:t>6.本行政机关认为需要报告的其他事项。</w:t>
      </w:r>
      <w:bookmarkStart w:id="10" w:name="_GoBack"/>
      <w:bookmarkEnd w:id="10"/>
      <w:r>
        <w:rPr>
          <w:rFonts w:hint="default" w:ascii="仿宋_GB2312" w:hAnsi="仿宋_GB2312" w:eastAsia="仿宋_GB2312" w:cs="仿宋_GB2312"/>
          <w:i w:val="0"/>
          <w:iCs w:val="0"/>
          <w:caps w:val="0"/>
          <w:color w:val="000000"/>
          <w:spacing w:val="0"/>
          <w:kern w:val="2"/>
          <w:sz w:val="32"/>
          <w:szCs w:val="32"/>
          <w:highlight w:val="none"/>
          <w:shd w:val="clear" w:fill="FFFFFF"/>
          <w:lang w:val="en-US" w:eastAsia="zh-CN" w:bidi="ar-SA"/>
        </w:rPr>
        <w:t>无。</w:t>
      </w:r>
    </w:p>
    <w:p w14:paraId="5B7FCC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fill="FFFFFF"/>
          <w:lang w:eastAsia="zh-CN"/>
        </w:rPr>
      </w:pPr>
      <w:r>
        <w:rPr>
          <w:rFonts w:hint="default" w:ascii="仿宋_GB2312" w:hAnsi="仿宋_GB2312" w:eastAsia="仿宋_GB2312" w:cs="仿宋_GB2312"/>
          <w:i w:val="0"/>
          <w:iCs w:val="0"/>
          <w:caps w:val="0"/>
          <w:color w:val="000000"/>
          <w:spacing w:val="0"/>
          <w:kern w:val="2"/>
          <w:sz w:val="32"/>
          <w:szCs w:val="32"/>
          <w:highlight w:val="none"/>
          <w:shd w:val="clear" w:fill="FFFFFF"/>
          <w:lang w:val="en-US" w:eastAsia="zh-CN" w:bidi="ar-SA"/>
        </w:rPr>
        <w:t>7.其他有关文件专门要求通过政府信息公开工作年度报告予以报告的事项。无。</w:t>
      </w:r>
    </w:p>
    <w:p w14:paraId="7F0353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如对年度政府信息公开工作年度报告有疑问，请与枣庄高新区兴仁街道联系（联系电话:0632-8690866，电子邮箱:xingrenjiedao@126.com ）。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C253A7-54D7-452A-A5FA-6FE2BBCCFC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E20D8138-E388-4005-BAF0-B9B0426FEF37}"/>
  </w:font>
  <w:font w:name="仿宋_GB2312">
    <w:panose1 w:val="02010609030101010101"/>
    <w:charset w:val="86"/>
    <w:family w:val="auto"/>
    <w:pitch w:val="default"/>
    <w:sig w:usb0="00000001" w:usb1="080E0000" w:usb2="00000000" w:usb3="00000000" w:csb0="00040000" w:csb1="00000000"/>
    <w:embedRegular r:id="rId3" w:fontKey="{314C422A-A45D-41AB-8760-0C46917919E2}"/>
  </w:font>
  <w:font w:name="楷体_GB2312">
    <w:panose1 w:val="02010609030101010101"/>
    <w:charset w:val="86"/>
    <w:family w:val="auto"/>
    <w:pitch w:val="default"/>
    <w:sig w:usb0="00000001" w:usb1="080E0000" w:usb2="00000000" w:usb3="00000000" w:csb0="00040000" w:csb1="00000000"/>
    <w:embedRegular r:id="rId4" w:fontKey="{DBCE172E-29C9-476E-B83B-0E6FEE904EDE}"/>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YTMxOGM4ZmZlZGNhOWYyMTgxZDZkMzVkY2ZiNjMifQ=="/>
  </w:docVars>
  <w:rsids>
    <w:rsidRoot w:val="00000000"/>
    <w:rsid w:val="06967786"/>
    <w:rsid w:val="0B8B34D2"/>
    <w:rsid w:val="0CE90963"/>
    <w:rsid w:val="15301A2B"/>
    <w:rsid w:val="16A5701F"/>
    <w:rsid w:val="18883F55"/>
    <w:rsid w:val="1B680943"/>
    <w:rsid w:val="1EB01AB5"/>
    <w:rsid w:val="28FB28A1"/>
    <w:rsid w:val="2AD84133"/>
    <w:rsid w:val="2B6F5C53"/>
    <w:rsid w:val="316B1911"/>
    <w:rsid w:val="3B7235DF"/>
    <w:rsid w:val="3D4B60F4"/>
    <w:rsid w:val="3F5F0ADC"/>
    <w:rsid w:val="43964EE8"/>
    <w:rsid w:val="47602729"/>
    <w:rsid w:val="4EDA72D1"/>
    <w:rsid w:val="509D6459"/>
    <w:rsid w:val="57B950FD"/>
    <w:rsid w:val="57EC6773"/>
    <w:rsid w:val="5FF75CFA"/>
    <w:rsid w:val="639A0067"/>
    <w:rsid w:val="67935B91"/>
    <w:rsid w:val="70B12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政策文件</a:t>
            </a:r>
          </a:p>
        </c:rich>
      </c:tx>
      <c:layout/>
      <c:overlay val="0"/>
      <c:spPr>
        <a:noFill/>
        <a:ln>
          <a:noFill/>
        </a:ln>
        <a:effectLst/>
      </c:spPr>
    </c:title>
    <c:autoTitleDeleted val="0"/>
    <c:plotArea>
      <c:layout/>
      <c:pieChart>
        <c:varyColors val="1"/>
        <c:ser>
          <c:idx val="0"/>
          <c:order val="0"/>
          <c:tx>
            <c:strRef>
              <c:f>Sheet1!$B$1</c:f>
              <c:strCache>
                <c:ptCount val="1"/>
                <c:pt idx="0">
                  <c:v>政策文件</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0181203189176129"/>
                  <c:y val="0.00637484062898428"/>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0.0144962551340904"/>
                  <c:y val="0.00956226094347641"/>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333413868084078"/>
                  <c:y val="-0.22311942201445"/>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主动公开文件</c:v>
                </c:pt>
                <c:pt idx="1">
                  <c:v>依申请公开文件</c:v>
                </c:pt>
                <c:pt idx="2">
                  <c:v>不予公开文件</c:v>
                </c:pt>
                <c:pt idx="3">
                  <c:v>微信公众号</c:v>
                </c:pt>
              </c:strCache>
            </c:strRef>
          </c:cat>
          <c:val>
            <c:numRef>
              <c:f>Sheet1!$B$2:$B$5</c:f>
              <c:numCache>
                <c:formatCode>General</c:formatCode>
                <c:ptCount val="4"/>
                <c:pt idx="0">
                  <c:v>50</c:v>
                </c:pt>
                <c:pt idx="1">
                  <c:v>0</c:v>
                </c:pt>
                <c:pt idx="2">
                  <c:v>0</c:v>
                </c:pt>
                <c:pt idx="3">
                  <c:v>250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10f0d2d6-a0a0-4850-92a0-24b6325f5036}"/>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10</Pages>
  <Words>2959</Words>
  <Characters>3130</Characters>
  <Lines>0</Lines>
  <Paragraphs>0</Paragraphs>
  <TotalTime>67</TotalTime>
  <ScaleCrop>false</ScaleCrop>
  <LinksUpToDate>false</LinksUpToDate>
  <CharactersWithSpaces>3140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2024-01-19T06:43:00Z</dcterms:created>
  <dc:creator>Admin</dc:creator>
  <cp:lastModifiedBy>鹏仔</cp:lastModifiedBy>
  <dcterms:modified xsi:type="dcterms:W3CDTF">2025-01-22T00:38:41Z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2153A27BC632473F8FBA7485DA89A37D_13</vt:lpwstr>
  </property>
  <property fmtid="{D5CDD505-2E9C-101B-9397-08002B2CF9AE}" pid="4" name="KSOTemplateDocerSaveRecord">
    <vt:lpwstr>eyJoZGlkIjoiMGUyYTMxOGM4ZmZlZGNhOWYyMTgxZDZkMzVkY2ZiNjMiLCJ1c2VySWQiOiI2MzA2MDI5OTIifQ==</vt:lpwstr>
  </property>
</Properties>
</file>