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731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枣庄高新产业中区运营有限公司</w:t>
      </w:r>
    </w:p>
    <w:p w14:paraId="6FE2C3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2023年度政府信息公开工作年度报告</w:t>
      </w:r>
    </w:p>
    <w:p w14:paraId="42E074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Times New Roman" w:hAnsi="Times New Roman" w:eastAsia="方正小标宋简体" w:cs="Times New Roman"/>
          <w:kern w:val="2"/>
          <w:sz w:val="44"/>
          <w:szCs w:val="44"/>
          <w:lang w:val="en-US" w:eastAsia="zh-CN" w:bidi="ar-SA"/>
        </w:rPr>
      </w:pPr>
    </w:p>
    <w:p w14:paraId="0A19B9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本报告根据《中华人民共和国政府信息公开条例》《中华人民共和国政府信息公开工作年度报告格式》的通知（国办公开办函〔2021〕30号）和省、市、区有关工作要求，由枣庄高新产业中</w:t>
      </w:r>
      <w:r>
        <w:rPr>
          <w:rFonts w:hint="default" w:ascii="仿宋_GB2312" w:hAnsi="仿宋_GB2312" w:eastAsia="仿宋_GB2312" w:cs="仿宋_GB2312"/>
          <w:sz w:val="32"/>
          <w:szCs w:val="32"/>
          <w:lang w:val="en-US" w:eastAsia="zh-CN"/>
        </w:rPr>
        <w:t>区运营</w:t>
      </w:r>
      <w:r>
        <w:rPr>
          <w:rFonts w:hint="eastAsia" w:ascii="仿宋_GB2312" w:hAnsi="仿宋_GB2312" w:eastAsia="仿宋_GB2312" w:cs="仿宋_GB2312"/>
          <w:sz w:val="32"/>
          <w:szCs w:val="32"/>
          <w:lang w:val="en-US" w:eastAsia="zh-CN"/>
        </w:rPr>
        <w:t>有限</w:t>
      </w:r>
      <w:r>
        <w:rPr>
          <w:rFonts w:hint="default" w:ascii="仿宋_GB2312" w:hAnsi="仿宋_GB2312" w:eastAsia="仿宋_GB2312" w:cs="仿宋_GB2312"/>
          <w:sz w:val="32"/>
          <w:szCs w:val="32"/>
          <w:lang w:val="en-US" w:eastAsia="zh-CN"/>
        </w:rPr>
        <w:t>公司编制。全文包括2023年政府信息公开工作要点落实情况，主动公开政府信息情况，回应解读情况，依申请公开情况，政府信息公开行政复议、行政诉讼和投诉情况，存在的主要问题及改进措施等。本报告所列数据的统计时限自2023年1月1日至2023年12月31日。本报告全文将在枣庄高新区官网（http://www.zzctp.gov.cn/）“政府信息公开年度报告”专栏公布。如对本报告有疑问，请与枣庄高新产业中区运营</w:t>
      </w:r>
      <w:r>
        <w:rPr>
          <w:rFonts w:hint="eastAsia" w:ascii="仿宋_GB2312" w:hAnsi="仿宋_GB2312" w:eastAsia="仿宋_GB2312" w:cs="仿宋_GB2312"/>
          <w:sz w:val="32"/>
          <w:szCs w:val="32"/>
          <w:lang w:val="en-US" w:eastAsia="zh-CN"/>
        </w:rPr>
        <w:t>有限</w:t>
      </w:r>
      <w:r>
        <w:rPr>
          <w:rFonts w:hint="default" w:ascii="仿宋_GB2312" w:hAnsi="仿宋_GB2312" w:eastAsia="仿宋_GB2312" w:cs="仿宋_GB2312"/>
          <w:sz w:val="32"/>
          <w:szCs w:val="32"/>
          <w:lang w:val="en-US" w:eastAsia="zh-CN"/>
        </w:rPr>
        <w:t>公司综合部联系（联系电话:0632-8675167，电子邮箱:zzgxqcyzq@163.com）。</w:t>
      </w:r>
    </w:p>
    <w:p w14:paraId="25A028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一、总体情况</w:t>
      </w:r>
    </w:p>
    <w:p w14:paraId="2817AD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2023年，枣庄高新产业中区运营</w:t>
      </w:r>
      <w:r>
        <w:rPr>
          <w:rFonts w:hint="eastAsia" w:ascii="仿宋_GB2312" w:hAnsi="仿宋_GB2312" w:eastAsia="仿宋_GB2312" w:cs="仿宋_GB2312"/>
          <w:sz w:val="32"/>
          <w:szCs w:val="32"/>
          <w:lang w:val="en-US" w:eastAsia="zh-CN"/>
        </w:rPr>
        <w:t>有限</w:t>
      </w:r>
      <w:r>
        <w:rPr>
          <w:rFonts w:hint="default" w:ascii="仿宋_GB2312" w:hAnsi="仿宋_GB2312" w:eastAsia="仿宋_GB2312" w:cs="仿宋_GB2312"/>
          <w:sz w:val="32"/>
          <w:szCs w:val="32"/>
          <w:lang w:val="en-US" w:eastAsia="zh-CN"/>
        </w:rPr>
        <w:t>公司坚持以习近平新时代中国特色社会主义思想为指导，全面贯彻落实党的二十大精神，不断健全完善政务公开工作制度，持续加大公开力度、拓展公开深度、提高公开精度，助力各项工作高质量发展。现将我单位2023年度政府信息公开工作情况报告如下：</w:t>
      </w:r>
    </w:p>
    <w:p w14:paraId="33439D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（一）主动公开政府信息情况</w:t>
      </w:r>
    </w:p>
    <w:p w14:paraId="15E227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2023年枣庄高新产业</w:t>
      </w:r>
      <w:bookmarkStart w:id="10" w:name="_GoBack"/>
      <w:bookmarkEnd w:id="10"/>
      <w:r>
        <w:rPr>
          <w:rFonts w:hint="default" w:ascii="仿宋_GB2312" w:hAnsi="仿宋_GB2312" w:eastAsia="仿宋_GB2312" w:cs="仿宋_GB2312"/>
          <w:sz w:val="32"/>
          <w:szCs w:val="32"/>
          <w:lang w:val="en-US" w:eastAsia="zh-CN"/>
        </w:rPr>
        <w:t>中区运营有限公司主动公开政府信息120篇。其中部门信息32篇、信息公开指南1篇、政府信息公开目录20篇、办事指南1篇、产业发展概况17篇、主导产业-锂电产业28篇、重点项目18篇、招商引资--投资环境3篇。</w:t>
      </w:r>
    </w:p>
    <w:p w14:paraId="6CE966CF">
      <w:pPr>
        <w:pStyle w:val="2"/>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31"/>
          <w:szCs w:val="31"/>
        </w:rPr>
      </w:pPr>
      <w:r>
        <w:rPr>
          <w:rFonts w:hint="default" w:ascii="sans-serif" w:hAnsi="sans-serif" w:eastAsia="sans-serif" w:cs="sans-serif"/>
          <w:i w:val="0"/>
          <w:iCs w:val="0"/>
          <w:caps w:val="0"/>
          <w:color w:val="000000"/>
          <w:spacing w:val="0"/>
          <w:sz w:val="31"/>
          <w:szCs w:val="31"/>
        </w:rPr>
        <w:drawing>
          <wp:inline distT="0" distB="0" distL="114300" distR="114300">
            <wp:extent cx="5269865" cy="2994660"/>
            <wp:effectExtent l="0" t="0" r="6985" b="15240"/>
            <wp:docPr id="1" name="图片 1" descr="ec99157b0350596ff175b1411da4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c99157b0350596ff175b1411da4729.png"/>
                    <pic:cNvPicPr>
                      <a:picLocks noChangeAspect="1"/>
                    </pic:cNvPicPr>
                  </pic:nvPicPr>
                  <pic:blipFill>
                    <a:blip r:embed="rId4"/>
                    <a:stretch>
                      <a:fillRect/>
                    </a:stretch>
                  </pic:blipFill>
                  <pic:spPr>
                    <a:xfrm>
                      <a:off x="0" y="0"/>
                      <a:ext cx="5269865" cy="2994660"/>
                    </a:xfrm>
                    <a:prstGeom prst="rect">
                      <a:avLst/>
                    </a:prstGeom>
                    <a:noFill/>
                    <a:ln w="9525">
                      <a:noFill/>
                    </a:ln>
                  </pic:spPr>
                </pic:pic>
              </a:graphicData>
            </a:graphic>
          </wp:inline>
        </w:drawing>
      </w:r>
    </w:p>
    <w:p w14:paraId="27F815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（二）依申请公开办理情况</w:t>
      </w:r>
    </w:p>
    <w:p w14:paraId="18CE95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1.收到和处理政府信息公开申请情况</w:t>
      </w:r>
    </w:p>
    <w:p w14:paraId="6948CC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2023年收到申请数0件。</w:t>
      </w:r>
    </w:p>
    <w:p w14:paraId="12D186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2.政府信息公开行政复议、行政诉讼情况</w:t>
      </w:r>
    </w:p>
    <w:p w14:paraId="55EEAD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2023年，因政府信息公开被申请行政复议0件，因公民、法人和其他组织认为行政机关政府信息公开工作具体行政行为侵犯其合法权益，提起行政诉讼0件。</w:t>
      </w:r>
    </w:p>
    <w:p w14:paraId="607DD7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（三）政府信息管理</w:t>
      </w:r>
    </w:p>
    <w:p w14:paraId="4C5A4E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照《政府信息公开条例》要求，完善信息公开工作流程，安排专人专岗负责政务信息审核、发布、更新、管理工作，保障公开信息的准确性。产业中区综合管理部是信息公开工作的主管部门，负责推进、指导、协调、监督单位信息公开工作。配备专职人员1人，每月按照要求报送政务公开信息材料。</w:t>
      </w:r>
    </w:p>
    <w:p w14:paraId="3387D5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（四）政府信息公开平台建设</w:t>
      </w:r>
    </w:p>
    <w:p w14:paraId="2CF6AF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产业中区运营公司依托区管委会政府公开网站，严格按照信息公开要求，统一进行年报、公开指南、规划计划等法定公开内容的上传及管理，设立通知公告、部门信息、政民互动、产业发展、招商引资等栏目。</w:t>
      </w:r>
    </w:p>
    <w:p w14:paraId="7A7414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（五）监督保障</w:t>
      </w:r>
    </w:p>
    <w:p w14:paraId="720DE5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印制下发《关于成立产业中区政务公开工作领导小组的通知》，下设办公室，严格实行领导责任制和目标管理责任制。全面加强政务公开工作培训，制定年度政务公开工作培训计划，并严格按计划进行业务培训，全面提升政务公开人员的业务能力和专业水平。</w:t>
      </w:r>
    </w:p>
    <w:p w14:paraId="2BE0D2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955"/>
        <w:gridCol w:w="1290"/>
        <w:gridCol w:w="1335"/>
        <w:gridCol w:w="2550"/>
      </w:tblGrid>
      <w:tr w14:paraId="69DA72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24B08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第二十条第（一）项</w:t>
            </w:r>
          </w:p>
        </w:tc>
      </w:tr>
      <w:tr w14:paraId="16C3E1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66E094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信息内容</w:t>
            </w:r>
          </w:p>
        </w:tc>
        <w:tc>
          <w:tcPr>
            <w:tcW w:w="1290" w:type="dxa"/>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4648AA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本年制</w:t>
            </w:r>
          </w:p>
          <w:p w14:paraId="2D0EE8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发件数</w:t>
            </w:r>
          </w:p>
        </w:tc>
        <w:tc>
          <w:tcPr>
            <w:tcW w:w="1335" w:type="dxa"/>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1B725E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本年废</w:t>
            </w:r>
          </w:p>
          <w:p w14:paraId="31F594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止件数</w:t>
            </w:r>
          </w:p>
        </w:tc>
        <w:tc>
          <w:tcPr>
            <w:tcW w:w="2550" w:type="dxa"/>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19D8A1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现行有效件数</w:t>
            </w:r>
          </w:p>
        </w:tc>
      </w:tr>
      <w:tr w14:paraId="58A69F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3A46E4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规章</w:t>
            </w:r>
          </w:p>
        </w:tc>
        <w:tc>
          <w:tcPr>
            <w:tcW w:w="1290" w:type="dxa"/>
            <w:tcBorders>
              <w:top w:val="nil"/>
              <w:left w:val="nil"/>
              <w:bottom w:val="outset" w:color="auto" w:sz="6" w:space="0"/>
              <w:right w:val="outset" w:color="auto" w:sz="6" w:space="0"/>
            </w:tcBorders>
            <w:shd w:val="clear" w:color="auto" w:fill="auto"/>
            <w:tcMar>
              <w:left w:w="75" w:type="dxa"/>
              <w:right w:w="75" w:type="dxa"/>
            </w:tcMar>
            <w:vAlign w:val="center"/>
          </w:tcPr>
          <w:p w14:paraId="69432B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default" w:ascii="仿宋_GB2312" w:eastAsia="仿宋_GB2312" w:cs="仿宋_GB2312"/>
              </w:rPr>
              <w:t>0</w:t>
            </w:r>
          </w:p>
        </w:tc>
        <w:tc>
          <w:tcPr>
            <w:tcW w:w="1335" w:type="dxa"/>
            <w:tcBorders>
              <w:top w:val="nil"/>
              <w:left w:val="nil"/>
              <w:bottom w:val="outset" w:color="auto" w:sz="6" w:space="0"/>
              <w:right w:val="outset" w:color="auto" w:sz="6" w:space="0"/>
            </w:tcBorders>
            <w:shd w:val="clear" w:color="auto" w:fill="auto"/>
            <w:tcMar>
              <w:left w:w="75" w:type="dxa"/>
              <w:right w:w="75" w:type="dxa"/>
            </w:tcMar>
            <w:vAlign w:val="center"/>
          </w:tcPr>
          <w:p w14:paraId="428919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default" w:ascii="仿宋_GB2312" w:eastAsia="仿宋_GB2312" w:cs="仿宋_GB2312"/>
              </w:rPr>
              <w:t>0</w:t>
            </w:r>
          </w:p>
        </w:tc>
        <w:tc>
          <w:tcPr>
            <w:tcW w:w="2550" w:type="dxa"/>
            <w:tcBorders>
              <w:top w:val="nil"/>
              <w:left w:val="nil"/>
              <w:bottom w:val="outset" w:color="auto" w:sz="6" w:space="0"/>
              <w:right w:val="outset" w:color="auto" w:sz="6" w:space="0"/>
            </w:tcBorders>
            <w:shd w:val="clear" w:color="auto" w:fill="auto"/>
            <w:tcMar>
              <w:left w:w="75" w:type="dxa"/>
              <w:right w:w="75" w:type="dxa"/>
            </w:tcMar>
            <w:vAlign w:val="center"/>
          </w:tcPr>
          <w:p w14:paraId="5B1496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default" w:ascii="仿宋_GB2312" w:eastAsia="仿宋_GB2312" w:cs="仿宋_GB2312"/>
              </w:rPr>
              <w:t>0</w:t>
            </w:r>
          </w:p>
        </w:tc>
      </w:tr>
      <w:tr w14:paraId="4720BB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00A7F2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行政规范性文件</w:t>
            </w:r>
          </w:p>
        </w:tc>
        <w:tc>
          <w:tcPr>
            <w:tcW w:w="1290" w:type="dxa"/>
            <w:tcBorders>
              <w:top w:val="nil"/>
              <w:left w:val="nil"/>
              <w:bottom w:val="outset" w:color="auto" w:sz="6" w:space="0"/>
              <w:right w:val="outset" w:color="auto" w:sz="6" w:space="0"/>
            </w:tcBorders>
            <w:shd w:val="clear" w:color="auto" w:fill="auto"/>
            <w:tcMar>
              <w:left w:w="75" w:type="dxa"/>
              <w:right w:w="75" w:type="dxa"/>
            </w:tcMar>
            <w:vAlign w:val="center"/>
          </w:tcPr>
          <w:p w14:paraId="2A7706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default" w:ascii="仿宋_GB2312" w:eastAsia="仿宋_GB2312" w:cs="仿宋_GB2312"/>
              </w:rPr>
              <w:t>0</w:t>
            </w:r>
          </w:p>
        </w:tc>
        <w:tc>
          <w:tcPr>
            <w:tcW w:w="1335" w:type="dxa"/>
            <w:tcBorders>
              <w:top w:val="nil"/>
              <w:left w:val="nil"/>
              <w:bottom w:val="outset" w:color="auto" w:sz="6" w:space="0"/>
              <w:right w:val="outset" w:color="auto" w:sz="6" w:space="0"/>
            </w:tcBorders>
            <w:shd w:val="clear" w:color="auto" w:fill="auto"/>
            <w:tcMar>
              <w:left w:w="75" w:type="dxa"/>
              <w:right w:w="75" w:type="dxa"/>
            </w:tcMar>
            <w:vAlign w:val="center"/>
          </w:tcPr>
          <w:p w14:paraId="56B42B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default" w:ascii="仿宋_GB2312" w:eastAsia="仿宋_GB2312" w:cs="仿宋_GB2312"/>
              </w:rPr>
              <w:t>0</w:t>
            </w:r>
          </w:p>
        </w:tc>
        <w:tc>
          <w:tcPr>
            <w:tcW w:w="2550" w:type="dxa"/>
            <w:tcBorders>
              <w:top w:val="nil"/>
              <w:left w:val="nil"/>
              <w:bottom w:val="outset" w:color="auto" w:sz="6" w:space="0"/>
              <w:right w:val="outset" w:color="auto" w:sz="6" w:space="0"/>
            </w:tcBorders>
            <w:shd w:val="clear" w:color="auto" w:fill="auto"/>
            <w:tcMar>
              <w:left w:w="75" w:type="dxa"/>
              <w:right w:w="75" w:type="dxa"/>
            </w:tcMar>
            <w:vAlign w:val="center"/>
          </w:tcPr>
          <w:p w14:paraId="5D53C2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default" w:ascii="仿宋_GB2312" w:eastAsia="仿宋_GB2312" w:cs="仿宋_GB2312"/>
              </w:rPr>
              <w:t>0</w:t>
            </w:r>
          </w:p>
        </w:tc>
      </w:tr>
      <w:tr w14:paraId="2AC836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614269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第二十条第（五）项</w:t>
            </w:r>
          </w:p>
        </w:tc>
      </w:tr>
      <w:tr w14:paraId="712A36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54C874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235411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本年处理决定数量</w:t>
            </w:r>
          </w:p>
        </w:tc>
      </w:tr>
      <w:tr w14:paraId="08752B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6B92AF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行政许可</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011995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23F4FF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43BB05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第二十条第（六）项</w:t>
            </w:r>
          </w:p>
        </w:tc>
      </w:tr>
      <w:tr w14:paraId="5482DF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1F1701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7B78CF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本年处理决定数量</w:t>
            </w:r>
          </w:p>
        </w:tc>
      </w:tr>
      <w:tr w14:paraId="27F776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074382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行政处罚</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22D5A9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default" w:ascii="仿宋_GB2312" w:eastAsia="仿宋_GB2312" w:cs="仿宋_GB2312"/>
              </w:rPr>
              <w:t>0</w:t>
            </w:r>
          </w:p>
        </w:tc>
      </w:tr>
      <w:tr w14:paraId="20EF01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79AC40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行政强制</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18D813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default" w:ascii="仿宋_GB2312" w:eastAsia="仿宋_GB2312" w:cs="仿宋_GB2312"/>
              </w:rPr>
              <w:t>0</w:t>
            </w:r>
          </w:p>
        </w:tc>
      </w:tr>
      <w:tr w14:paraId="48D028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282735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第二十条第（八）项</w:t>
            </w:r>
          </w:p>
        </w:tc>
      </w:tr>
      <w:tr w14:paraId="004A3E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1E6F7C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59ABF6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本年收费金额（单位：万元）</w:t>
            </w:r>
          </w:p>
        </w:tc>
      </w:tr>
      <w:tr w14:paraId="120D1A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38A30C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eastAsia" w:ascii="黑体" w:hAnsi="宋体" w:eastAsia="黑体" w:cs="黑体"/>
              </w:rPr>
              <w:t>行政事业性收费</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34F28F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pPr>
            <w:r>
              <w:rPr>
                <w:rFonts w:hint="default" w:ascii="仿宋_GB2312" w:eastAsia="仿宋_GB2312" w:cs="仿宋_GB2312"/>
              </w:rPr>
              <w:t>0</w:t>
            </w:r>
          </w:p>
        </w:tc>
      </w:tr>
    </w:tbl>
    <w:p w14:paraId="6AEC8C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690"/>
        <w:gridCol w:w="930"/>
        <w:gridCol w:w="2566"/>
        <w:gridCol w:w="535"/>
        <w:gridCol w:w="549"/>
        <w:gridCol w:w="549"/>
        <w:gridCol w:w="692"/>
        <w:gridCol w:w="663"/>
        <w:gridCol w:w="550"/>
        <w:gridCol w:w="792"/>
      </w:tblGrid>
      <w:tr w14:paraId="6A8670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414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D146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（本列数据的勾稽关系为：第一项加第二项之和，等于第三项加第四项之和）</w:t>
            </w:r>
          </w:p>
        </w:tc>
        <w:tc>
          <w:tcPr>
            <w:tcW w:w="4380"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95CA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申请人情况</w:t>
            </w:r>
          </w:p>
        </w:tc>
      </w:tr>
      <w:tr w14:paraId="260B34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414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0A21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5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3F93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自然人</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78EE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法人或其他组织</w:t>
            </w:r>
          </w:p>
        </w:tc>
        <w:tc>
          <w:tcPr>
            <w:tcW w:w="81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C269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总计</w:t>
            </w:r>
          </w:p>
        </w:tc>
      </w:tr>
      <w:tr w14:paraId="6A56EA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720" w:hRule="atLeast"/>
          <w:jc w:val="center"/>
        </w:trPr>
        <w:tc>
          <w:tcPr>
            <w:tcW w:w="414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D8C9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5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85AE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B50C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商业企业</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7480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科研机构</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CA13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社会公益组织</w:t>
            </w:r>
          </w:p>
        </w:tc>
        <w:tc>
          <w:tcPr>
            <w:tcW w:w="6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9480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法律服务机构</w:t>
            </w:r>
          </w:p>
        </w:tc>
        <w:tc>
          <w:tcPr>
            <w:tcW w:w="5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DAA2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其他</w:t>
            </w:r>
          </w:p>
        </w:tc>
        <w:tc>
          <w:tcPr>
            <w:tcW w:w="81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54C4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r>
      <w:tr w14:paraId="208231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00" w:hRule="atLeast"/>
          <w:jc w:val="center"/>
        </w:trPr>
        <w:tc>
          <w:tcPr>
            <w:tcW w:w="414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03FF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一、</w:t>
            </w:r>
            <w:bookmarkStart w:id="0" w:name="_Hlk66973412"/>
            <w:r>
              <w:rPr>
                <w:rFonts w:hint="eastAsia" w:ascii="黑体" w:hAnsi="宋体" w:eastAsia="黑体" w:cs="黑体"/>
              </w:rPr>
              <w:t>本年新收政府信息公开申请数量</w:t>
            </w:r>
            <w:bookmarkEnd w:id="0"/>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21C3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E1A9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4435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EED3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3142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27EE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DC4C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2F79B6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15" w:hRule="atLeast"/>
          <w:jc w:val="center"/>
        </w:trPr>
        <w:tc>
          <w:tcPr>
            <w:tcW w:w="414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0AC7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二、上年结转政府信息公开申请数量</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CD27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167E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F63A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DA40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4592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A947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3645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2A5943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63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D78D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三、本年度办理结果</w:t>
            </w:r>
          </w:p>
        </w:tc>
        <w:tc>
          <w:tcPr>
            <w:tcW w:w="351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BE8F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（一）予以公开</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C77D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3523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7753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4022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4EE4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D6AB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AEBA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095A2A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3E52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351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9DBB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（二）部分公开（</w:t>
            </w:r>
            <w:bookmarkStart w:id="1" w:name="_Hlk66973981"/>
            <w:r>
              <w:rPr>
                <w:rFonts w:hint="eastAsia" w:ascii="黑体" w:hAnsi="宋体" w:eastAsia="黑体" w:cs="黑体"/>
              </w:rPr>
              <w:t>区分处理的，只计这一情形，不计其他情形</w:t>
            </w:r>
            <w:bookmarkEnd w:id="1"/>
            <w:r>
              <w:rPr>
                <w:rFonts w:hint="eastAsia" w:ascii="黑体" w:hAnsi="宋体" w:eastAsia="黑体" w:cs="黑体"/>
              </w:rPr>
              <w:t>）</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46AC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2C0E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4B78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DC65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36FE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B282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8FBF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688C9A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15"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C212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C24F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（三）不予公开</w:t>
            </w: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1D91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1.属于国家秘密</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9F5C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BBEB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9B40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1302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2B43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9A69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A31F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025A08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1191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DB64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1D0D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2.</w:t>
            </w:r>
            <w:bookmarkStart w:id="2" w:name="_Hlk66974104"/>
            <w:r>
              <w:rPr>
                <w:rFonts w:hint="default" w:ascii="黑体" w:hAnsi="宋体" w:eastAsia="黑体" w:cs="黑体"/>
              </w:rPr>
              <w:t>其他法律行政法规禁止公开</w:t>
            </w:r>
            <w:bookmarkEnd w:id="2"/>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3CD5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EFC3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A9D2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FD7C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6694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F018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53A1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629676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A94C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66E9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50B9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3.危及“三安全一稳定”</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5294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E3DC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FD22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6506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319F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6A0F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A537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2C180C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1419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C36A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422D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4.</w:t>
            </w:r>
            <w:bookmarkStart w:id="3" w:name="_Hlk66974290"/>
            <w:r>
              <w:rPr>
                <w:rFonts w:hint="default" w:ascii="黑体" w:hAnsi="宋体" w:eastAsia="黑体" w:cs="黑体"/>
              </w:rPr>
              <w:t>保护第三方合法权益</w:t>
            </w:r>
            <w:bookmarkEnd w:id="3"/>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34D3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F6DA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4AB3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51F4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6E7E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BD70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D3AE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24984E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7CD3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3C21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9FF5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5.属于三类内部事务信息</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B967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BEF3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A808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3839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1B2D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D9CB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AE41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14A223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A994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7969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5729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6.</w:t>
            </w:r>
            <w:bookmarkStart w:id="4" w:name="_Hlk66974555"/>
            <w:r>
              <w:rPr>
                <w:rFonts w:hint="default" w:ascii="黑体" w:hAnsi="宋体" w:eastAsia="黑体" w:cs="黑体"/>
              </w:rPr>
              <w:t>属于四类过程性信息</w:t>
            </w:r>
            <w:bookmarkEnd w:id="4"/>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7B4F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5431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888B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AF02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92D6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A3D5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0324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0BC39F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1456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966C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6F93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7.属于行政执法案卷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1DD8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08AD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859E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1C17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23BA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0443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134F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003157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41669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5A0C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5088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8.</w:t>
            </w:r>
            <w:bookmarkStart w:id="5" w:name="_Hlk66975211"/>
            <w:r>
              <w:rPr>
                <w:rFonts w:hint="default" w:ascii="黑体" w:hAnsi="宋体" w:eastAsia="黑体" w:cs="黑体"/>
              </w:rPr>
              <w:t>属于行政查询事项</w:t>
            </w:r>
            <w:bookmarkEnd w:id="5"/>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A2BD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F365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05E1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8B7F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5D0F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04D6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5280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524EA6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5342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9CA9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（四）无法提供</w:t>
            </w: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A871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1.本机关不掌握相关政府信息</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EA1E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FC29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8D7C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8708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1D0E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61F5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BBBD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5262BF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8D24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A5B7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7B2B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2.</w:t>
            </w:r>
            <w:bookmarkStart w:id="6" w:name="_Hlk66975392"/>
            <w:r>
              <w:rPr>
                <w:rFonts w:hint="default" w:ascii="黑体" w:hAnsi="宋体" w:eastAsia="黑体" w:cs="黑体"/>
              </w:rPr>
              <w:t>没有现成信息需要另行制作</w:t>
            </w:r>
            <w:bookmarkEnd w:id="6"/>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66E0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497C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E158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84F3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C843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B1B3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970F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3471DD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36849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FA66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1D8B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3.</w:t>
            </w:r>
            <w:bookmarkStart w:id="7" w:name="_Hlk66975466"/>
            <w:r>
              <w:rPr>
                <w:rFonts w:hint="default" w:ascii="黑体" w:hAnsi="宋体" w:eastAsia="黑体" w:cs="黑体"/>
              </w:rPr>
              <w:t>补正后申请内容仍不明确</w:t>
            </w:r>
            <w:bookmarkEnd w:id="7"/>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1776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A812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4B47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A204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58ED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2CF8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BF7F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705621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D962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56DA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（五）不予处理</w:t>
            </w: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23DF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1.</w:t>
            </w:r>
            <w:bookmarkStart w:id="8" w:name="_Hlk66975537"/>
            <w:r>
              <w:rPr>
                <w:rFonts w:hint="default" w:ascii="黑体" w:hAnsi="宋体" w:eastAsia="黑体" w:cs="黑体"/>
              </w:rPr>
              <w:t>信访举报投诉类申请</w:t>
            </w:r>
            <w:bookmarkEnd w:id="8"/>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62B0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81DC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DEA6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E3F5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F950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FF66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2D47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3B39FB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4BFC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0B03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851A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2.重复申请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E913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A79C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854E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B852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A40F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DE7D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9404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4F3AD7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BDFB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B407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381F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3.要求提供公开出版物</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0857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4EA9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6AF1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9CD2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F317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7D9A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AC7E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7B68D7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9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E371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BB85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D731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4.无正当理由大量反复申请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0F3D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647C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72BC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94EE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E1F2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D77C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5438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0C9D78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35B9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65D5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6317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5.要求行政机关确认或重新出具已获取信息</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D2F5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92A3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9C14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3131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AD7A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9713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2E19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6FFF12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0FE0A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38FE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（六）其他处理</w:t>
            </w:r>
          </w:p>
        </w:tc>
        <w:tc>
          <w:tcPr>
            <w:tcW w:w="2670"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0BD771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1.申请人无正当理由逾期不补正、行政机关不再处理其政府信息公开申请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52BC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F8A5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A6FA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AE12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4978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0F7A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0494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4B4A1E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20EA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83E5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7B47C2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2.申请人逾期未按收费通知要求缴纳费用、行政机关不再处理其政府信息公开申请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6CCD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36DE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7EAD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226B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8FB8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5E02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9607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02304B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1AD6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82E4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2670"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11372E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3.其他</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68B5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A2B1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10BC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44CE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033F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F3BA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9474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23EFB2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24F82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351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C729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（七）总计</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64C9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CB95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15B1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9114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1844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B66D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39A3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r w14:paraId="51D776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14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6619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四、结转下年度继续办理</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65F8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9C2B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91FF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49AC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B8BC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5A84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0C03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default" w:ascii="黑体" w:hAnsi="宋体" w:eastAsia="黑体" w:cs="黑体"/>
              </w:rPr>
              <w:t>0</w:t>
            </w:r>
          </w:p>
        </w:tc>
      </w:tr>
    </w:tbl>
    <w:p w14:paraId="257EF5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515"/>
        <w:gridCol w:w="568"/>
        <w:gridCol w:w="595"/>
        <w:gridCol w:w="569"/>
        <w:gridCol w:w="450"/>
        <w:gridCol w:w="542"/>
        <w:gridCol w:w="582"/>
        <w:gridCol w:w="582"/>
        <w:gridCol w:w="582"/>
        <w:gridCol w:w="595"/>
        <w:gridCol w:w="582"/>
        <w:gridCol w:w="582"/>
        <w:gridCol w:w="582"/>
        <w:gridCol w:w="582"/>
        <w:gridCol w:w="608"/>
      </w:tblGrid>
      <w:tr w14:paraId="0E12FA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273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3FE6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053F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行政诉讼</w:t>
            </w:r>
          </w:p>
        </w:tc>
      </w:tr>
      <w:tr w14:paraId="7D5F56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40" w:hRule="atLeast"/>
          <w:jc w:val="center"/>
        </w:trPr>
        <w:tc>
          <w:tcPr>
            <w:tcW w:w="52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D860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结果</w:t>
            </w:r>
          </w:p>
          <w:p w14:paraId="10725E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维持</w:t>
            </w:r>
          </w:p>
        </w:tc>
        <w:tc>
          <w:tcPr>
            <w:tcW w:w="58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1EE6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结果纠正</w:t>
            </w:r>
          </w:p>
        </w:tc>
        <w:tc>
          <w:tcPr>
            <w:tcW w:w="61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11E2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其他结果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CED7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尚未</w:t>
            </w:r>
          </w:p>
          <w:p w14:paraId="42EF2F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审结</w:t>
            </w:r>
          </w:p>
        </w:tc>
        <w:tc>
          <w:tcPr>
            <w:tcW w:w="42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09B7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总</w:t>
            </w:r>
          </w:p>
          <w:p w14:paraId="7B501D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77E9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B2E9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bookmarkStart w:id="9" w:name="_Hlk67039688"/>
            <w:r>
              <w:rPr>
                <w:rFonts w:hint="eastAsia" w:ascii="黑体" w:hAnsi="宋体" w:eastAsia="黑体" w:cs="黑体"/>
              </w:rPr>
              <w:t>复议后起诉</w:t>
            </w:r>
            <w:bookmarkEnd w:id="9"/>
          </w:p>
        </w:tc>
      </w:tr>
      <w:tr w14:paraId="27DD20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0" w:hRule="atLeast"/>
          <w:jc w:val="center"/>
        </w:trPr>
        <w:tc>
          <w:tcPr>
            <w:tcW w:w="52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6CE7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58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2CC7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61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D03E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4BA5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42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8286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0A26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E7AC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E012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其他</w:t>
            </w:r>
          </w:p>
          <w:p w14:paraId="7E0F12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A995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尚未</w:t>
            </w:r>
          </w:p>
          <w:p w14:paraId="7F52EB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36FC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251F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D82B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结果</w:t>
            </w:r>
          </w:p>
          <w:p w14:paraId="00B655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4B45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其他</w:t>
            </w:r>
          </w:p>
          <w:p w14:paraId="71F855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85F7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35FB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总计</w:t>
            </w:r>
          </w:p>
        </w:tc>
      </w:tr>
      <w:tr w14:paraId="31FA58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8BBD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4638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F4EE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1D6E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EFB9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FE32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E509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4944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813A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C001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F60D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1178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8D10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537C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D8CB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黑体" w:hAnsi="宋体" w:eastAsia="黑体" w:cs="黑体"/>
              </w:rPr>
            </w:pPr>
            <w:r>
              <w:rPr>
                <w:rFonts w:hint="eastAsia" w:ascii="黑体" w:hAnsi="宋体" w:eastAsia="黑体" w:cs="黑体"/>
              </w:rPr>
              <w:t>0</w:t>
            </w:r>
          </w:p>
        </w:tc>
      </w:tr>
    </w:tbl>
    <w:p w14:paraId="781891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五、政府信息公开工作存在的主要问题及改进情况</w:t>
      </w:r>
    </w:p>
    <w:p w14:paraId="11D7E5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1.存在的主要问题</w:t>
      </w:r>
    </w:p>
    <w:p w14:paraId="29582F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一是政府信息公开的内容有待进一步丰富与拓展，产业中区运营公司阵地宣传作用有待提升。二是信息公开类型及内容不够全面，对公众关心的热点、焦点问题信息关注、回应还不够。</w:t>
      </w:r>
    </w:p>
    <w:p w14:paraId="5EABAB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2.改进情况</w:t>
      </w:r>
    </w:p>
    <w:p w14:paraId="2185AE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是进一步加强重要政策文件的解读，综合运用图表图解、宣传视频、专题讲座等方式，使解读更加直观、更可理解。二是持续更新完善政务公开标准目录，方便公众对公开内容的检索和查看。三是认真学习贯彻《中华人民共和国政府信息公开条例》，正确理解和适用法律法规及司法解释，努力提高答复质量，切实提升工作水平，有序开展政务便民服务。</w:t>
      </w:r>
    </w:p>
    <w:p w14:paraId="19C8EA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六、其他需要报告的事项</w:t>
      </w:r>
    </w:p>
    <w:p w14:paraId="015CF7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（一）本年度政府信息公开申请未达到《政府信息公开信息处理费管理办法》（国办函〔2020〕109号）所规定的信息处理费收费标准，故未收取信息处理费。</w:t>
      </w:r>
    </w:p>
    <w:p w14:paraId="0A7079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落实上级政务公开重点工作情况。根据《2023年枣庄市政务公开工作要点》及《枣庄高新区2023年度政务公开工作办法》要求，结合产业中区实际，制作主动公开基本目录清单等工作，并及时更新部门信息、产业发展、重点项目等各类信息，促进我单位政务公开工作提质增效。</w:t>
      </w:r>
    </w:p>
    <w:p w14:paraId="505872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（三）2023年全年接到市人大常委会交办的人大代表建议办理工作0件，办理政协委员提案办理结果0件。</w:t>
      </w:r>
    </w:p>
    <w:p w14:paraId="0B2032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本行政机关年度政务公开工作创新情况。一是加大政策解读力度。在解读材料“多元化”上下功夫，制作多样化解读材料，进行全方位、立体化解读。二是增强政务公开透明度。加强政民互动交流、征集调查、政策问答平台等栏目建设，推动“政府开放日”活动高质量开展，进一步密切政府与企业和群众的沟通联系。</w:t>
      </w:r>
    </w:p>
    <w:p w14:paraId="44CBDC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（五）本行政机关政府信息公开工作年度报告数据统计需要说明的事项。本报告中所列数据的统计时限为2023年1月1日至2023年12月31日。</w:t>
      </w:r>
    </w:p>
    <w:p w14:paraId="30B21F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（六）本行政机关认为需要报告的其他事项：无。</w:t>
      </w:r>
    </w:p>
    <w:p w14:paraId="366E9E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（七）其他有关文件专门要求通过政府信息公开工作年度报告予以报告的事项：无。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21039"/>
    <w:rsid w:val="120A7A81"/>
    <w:rsid w:val="2760372C"/>
    <w:rsid w:val="46876577"/>
    <w:rsid w:val="4CA0731E"/>
    <w:rsid w:val="6A7F5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2718</Words>
  <Characters>2856</Characters>
  <Lines>0</Lines>
  <Paragraphs>0</Paragraphs>
  <TotalTime>13</TotalTime>
  <ScaleCrop>false</ScaleCrop>
  <LinksUpToDate>false</LinksUpToDate>
  <CharactersWithSpaces>2856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2025-01-24T01:53:00Z</dcterms:created>
  <dc:creator>Administrator.PC-202108291032</dc:creator>
  <cp:lastModifiedBy>幸年</cp:lastModifiedBy>
  <dcterms:modified xsi:type="dcterms:W3CDTF">2025-01-24T02:39:45Z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eyJoZGlkIjoiMjA3N2U2YjU3MTMyYzY3NGJhODlmOGVmZWJlNjU4MTAiLCJ1c2VySWQiOiI0NzQwNjU5NDEifQ==</vt:lpwstr>
  </property>
  <property fmtid="{D5CDD505-2E9C-101B-9397-08002B2CF9AE}" pid="4" name="ICV">
    <vt:lpwstr>D3C64A62F3C2495998C6CF5A5722DE91_12</vt:lpwstr>
  </property>
</Properties>
</file>