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枣庄高新区</w:t>
      </w:r>
      <w:r>
        <w:rPr>
          <w:rFonts w:hint="eastAsia" w:ascii="方正小标宋简体" w:hAnsi="方正小标宋简体" w:eastAsia="方正小标宋简体" w:cs="方正小标宋简体"/>
          <w:color w:val="auto"/>
          <w:sz w:val="44"/>
          <w:szCs w:val="44"/>
          <w:lang w:eastAsia="zh-CN"/>
        </w:rPr>
        <w:t>张范</w:t>
      </w:r>
      <w:r>
        <w:rPr>
          <w:rFonts w:hint="eastAsia" w:ascii="方正小标宋简体" w:hAnsi="方正小标宋简体" w:eastAsia="方正小标宋简体" w:cs="方正小标宋简体"/>
          <w:color w:val="auto"/>
          <w:sz w:val="44"/>
          <w:szCs w:val="44"/>
        </w:rPr>
        <w:t>街道2023年政府信息公开工作年度报告</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4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根据《中华人民共和国政府信息公开条例》要求</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结合我街道实际，编制并向社会公开枣庄高新区</w:t>
      </w:r>
      <w:r>
        <w:rPr>
          <w:rFonts w:hint="eastAsia" w:ascii="Times New Roman" w:hAnsi="Times New Roman" w:eastAsia="仿宋_GB2312" w:cs="Times New Roman"/>
          <w:color w:val="auto"/>
          <w:sz w:val="32"/>
          <w:szCs w:val="32"/>
          <w:lang w:eastAsia="zh-CN"/>
        </w:rPr>
        <w:t>张范</w:t>
      </w:r>
      <w:r>
        <w:rPr>
          <w:rFonts w:hint="default" w:ascii="Times New Roman" w:hAnsi="Times New Roman" w:eastAsia="仿宋_GB2312" w:cs="Times New Roman"/>
          <w:color w:val="auto"/>
          <w:sz w:val="32"/>
          <w:szCs w:val="32"/>
        </w:rPr>
        <w:t>街道202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年政府信息公开工作年度报告</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年报由总体情况、行政机关主动公开政府信息情况、行政机关收到和处理政府信息公开申请情况、因政府信息公开工作被申请行政复议、提起行政诉讼情况、政府信息公开工作存在的主要问题及改进情况</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其他需要报告的事项六个部分组成。所列数据的统计期限为</w:t>
      </w:r>
      <w:r>
        <w:rPr>
          <w:rFonts w:hint="eastAsia" w:ascii="Times New Roman" w:hAnsi="Times New Roman" w:eastAsia="仿宋_GB2312" w:cs="Times New Roman"/>
          <w:color w:val="auto"/>
          <w:sz w:val="32"/>
          <w:szCs w:val="32"/>
          <w:lang w:val="en-US" w:eastAsia="zh-CN"/>
        </w:rPr>
        <w:t>2023</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日至</w:t>
      </w:r>
      <w:r>
        <w:rPr>
          <w:rFonts w:hint="eastAsia" w:ascii="Times New Roman" w:hAnsi="Times New Roman" w:eastAsia="仿宋_GB2312" w:cs="Times New Roman"/>
          <w:color w:val="auto"/>
          <w:sz w:val="32"/>
          <w:szCs w:val="32"/>
          <w:lang w:val="en-US" w:eastAsia="zh-CN"/>
        </w:rPr>
        <w:t>2023</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31</w:t>
      </w:r>
      <w:r>
        <w:rPr>
          <w:rFonts w:hint="default" w:ascii="Times New Roman" w:hAnsi="Times New Roman" w:eastAsia="仿宋_GB2312" w:cs="Times New Roman"/>
          <w:color w:val="auto"/>
          <w:sz w:val="32"/>
          <w:szCs w:val="32"/>
        </w:rPr>
        <w:t>日</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报告电子版可在枣庄高新技术产业开发区官网（http://www.zzctp.gov.cn/）</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政府信息公开年度报告</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栏目下载。如对本报告有疑问，请与</w:t>
      </w:r>
      <w:r>
        <w:rPr>
          <w:rFonts w:hint="eastAsia" w:ascii="Times New Roman" w:hAnsi="Times New Roman" w:eastAsia="仿宋_GB2312" w:cs="Times New Roman"/>
          <w:color w:val="auto"/>
          <w:sz w:val="32"/>
          <w:szCs w:val="32"/>
          <w:lang w:val="en-US" w:eastAsia="zh-CN"/>
        </w:rPr>
        <w:t>张范</w:t>
      </w:r>
      <w:r>
        <w:rPr>
          <w:rFonts w:hint="eastAsia" w:ascii="Times New Roman" w:hAnsi="Times New Roman" w:eastAsia="仿宋_GB2312" w:cs="Times New Roman"/>
          <w:color w:val="auto"/>
          <w:sz w:val="32"/>
          <w:szCs w:val="32"/>
          <w:lang w:eastAsia="zh-CN"/>
        </w:rPr>
        <w:t>街道党政办公室</w:t>
      </w:r>
      <w:r>
        <w:rPr>
          <w:rFonts w:hint="default" w:ascii="Times New Roman" w:hAnsi="Times New Roman" w:eastAsia="仿宋_GB2312" w:cs="Times New Roman"/>
          <w:color w:val="auto"/>
          <w:sz w:val="32"/>
          <w:szCs w:val="32"/>
        </w:rPr>
        <w:t>联系（联系电话:0632-</w:t>
      </w:r>
      <w:r>
        <w:rPr>
          <w:rFonts w:hint="eastAsia" w:ascii="Times New Roman" w:hAnsi="Times New Roman" w:eastAsia="仿宋_GB2312" w:cs="Times New Roman"/>
          <w:color w:val="auto"/>
          <w:sz w:val="32"/>
          <w:szCs w:val="32"/>
          <w:lang w:val="en-US" w:eastAsia="zh-CN"/>
        </w:rPr>
        <w:t>4615098</w:t>
      </w:r>
      <w:r>
        <w:rPr>
          <w:rFonts w:hint="default" w:ascii="Times New Roman" w:hAnsi="Times New Roman" w:eastAsia="仿宋_GB2312" w:cs="Times New Roman"/>
          <w:color w:val="auto"/>
          <w:sz w:val="32"/>
          <w:szCs w:val="32"/>
        </w:rPr>
        <w:t>，电子邮箱:</w:t>
      </w:r>
      <w:r>
        <w:rPr>
          <w:rFonts w:hint="eastAsia" w:ascii="Times New Roman" w:hAnsi="Times New Roman" w:eastAsia="仿宋_GB2312" w:cs="Times New Roman"/>
          <w:color w:val="auto"/>
          <w:sz w:val="32"/>
          <w:szCs w:val="32"/>
          <w:lang w:val="en-US" w:eastAsia="zh-CN"/>
        </w:rPr>
        <w:t>zfjd8025@163.com</w:t>
      </w:r>
      <w:r>
        <w:rPr>
          <w:rFonts w:hint="default" w:ascii="Times New Roman" w:hAnsi="Times New Roman" w:eastAsia="仿宋_GB2312" w:cs="Times New Roman"/>
          <w:color w:val="auto"/>
          <w:sz w:val="32"/>
          <w:szCs w:val="32"/>
        </w:rPr>
        <w: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总体情况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4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2023年，枣庄高新区张范街道坚持以习近平新时代中国特色社会主义思想为指导，全面贯彻落实党的二十大精神，</w:t>
      </w:r>
      <w:r>
        <w:rPr>
          <w:rFonts w:hint="default" w:ascii="Times New Roman" w:hAnsi="Times New Roman" w:eastAsia="仿宋_GB2312" w:cs="Times New Roman"/>
          <w:color w:val="auto"/>
          <w:sz w:val="32"/>
          <w:szCs w:val="32"/>
        </w:rPr>
        <w:t>进一步加强组织领导，明确责任分工，细化分解任务，加大督导力度，不断推进组织建设、平台建设、制度建设，信息公开工作的积极性、主动性不断提高，信息公开的广度和深度不断增强，工作透明度进一步提高，有效地保障了公民知情权，促进了政府公信力的提升。</w:t>
      </w:r>
      <w:r>
        <w:rPr>
          <w:rFonts w:hint="eastAsia" w:ascii="Times New Roman" w:hAnsi="Times New Roman" w:eastAsia="仿宋_GB2312" w:cs="Times New Roman"/>
          <w:color w:val="auto"/>
          <w:sz w:val="32"/>
          <w:szCs w:val="32"/>
          <w:lang w:val="en-US" w:eastAsia="zh-CN"/>
        </w:rPr>
        <w:t>现将我街道2023年度政府信息公开工作情况报告如下：</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right="0" w:rightChars="0"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（一）主动公开</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right="0" w:rightChars="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2023年张范街道主动公开政府信息400余条，通过政府门户网站公开政府信息100余条，通过张范街道微信公众号发布信息60余期，280余篇。</w:t>
      </w:r>
      <w:r>
        <w:rPr>
          <w:rFonts w:hint="eastAsia" w:ascii="Times New Roman" w:hAnsi="Times New Roman" w:eastAsia="仿宋_GB2312" w:cs="Times New Roman"/>
          <w:b/>
          <w:bCs/>
          <w:color w:val="auto"/>
          <w:sz w:val="32"/>
          <w:szCs w:val="32"/>
          <w:lang w:val="en-US" w:eastAsia="zh-CN"/>
        </w:rPr>
        <w:t>一是</w:t>
      </w:r>
      <w:r>
        <w:rPr>
          <w:rFonts w:hint="eastAsia" w:ascii="Times New Roman" w:hAnsi="Times New Roman" w:eastAsia="仿宋_GB2312" w:cs="Times New Roman"/>
          <w:color w:val="auto"/>
          <w:sz w:val="32"/>
          <w:szCs w:val="32"/>
          <w:lang w:val="en-US" w:eastAsia="zh-CN"/>
        </w:rPr>
        <w:t>加大主动公开力度按时合规及时发布各类政务信息至高新区政府网站。2023年街道通过政府门户网站公开主任办公会议12次，发布会议解读12次</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b/>
          <w:bCs/>
          <w:color w:val="auto"/>
          <w:sz w:val="32"/>
          <w:szCs w:val="32"/>
          <w:lang w:eastAsia="zh-CN"/>
        </w:rPr>
        <w:t>二是</w:t>
      </w:r>
      <w:r>
        <w:rPr>
          <w:rFonts w:hint="eastAsia" w:ascii="Times New Roman" w:hAnsi="Times New Roman" w:eastAsia="仿宋_GB2312" w:cs="Times New Roman"/>
          <w:color w:val="auto"/>
          <w:sz w:val="32"/>
          <w:szCs w:val="32"/>
          <w:lang w:eastAsia="zh-CN"/>
        </w:rPr>
        <w:t>利用政务新媒体发布街道动态，</w:t>
      </w:r>
      <w:r>
        <w:rPr>
          <w:rFonts w:hint="eastAsia" w:ascii="Times New Roman" w:hAnsi="Times New Roman" w:eastAsia="仿宋_GB2312" w:cs="Times New Roman"/>
          <w:color w:val="auto"/>
          <w:sz w:val="32"/>
          <w:szCs w:val="32"/>
          <w:lang w:val="en-US" w:eastAsia="zh-CN"/>
        </w:rPr>
        <w:t>将政务新媒体作为政务公开的有力助手，进一步提高公众获知政府信息的便利度。</w:t>
      </w:r>
      <w:r>
        <w:rPr>
          <w:rFonts w:hint="eastAsia" w:ascii="Times New Roman" w:hAnsi="Times New Roman" w:eastAsia="仿宋_GB2312" w:cs="Times New Roman"/>
          <w:b/>
          <w:bCs/>
          <w:color w:val="auto"/>
          <w:sz w:val="32"/>
          <w:szCs w:val="32"/>
          <w:lang w:val="en-US" w:eastAsia="zh-CN"/>
        </w:rPr>
        <w:t>三是</w:t>
      </w:r>
      <w:r>
        <w:rPr>
          <w:rFonts w:hint="eastAsia" w:ascii="Times New Roman" w:hAnsi="Times New Roman" w:eastAsia="仿宋_GB2312" w:cs="Times New Roman"/>
          <w:color w:val="auto"/>
          <w:sz w:val="32"/>
          <w:szCs w:val="32"/>
          <w:lang w:val="en-US" w:eastAsia="zh-CN"/>
        </w:rPr>
        <w:t>加强政民互动，今年以来通过政府网站收到互动交流信件5件，按时回复5件，及时解决群众热点难点问题，做到政府网站互动日常化、常态化、良性化。</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right="0" w:rightChars="0" w:firstLine="480" w:firstLineChars="200"/>
        <w:jc w:val="both"/>
        <w:textAlignment w:val="auto"/>
        <w:rPr>
          <w:rFonts w:hint="eastAsia" w:ascii="楷体_GB2312" w:hAnsi="楷体_GB2312" w:eastAsia="楷体_GB2312" w:cs="楷体_GB2312"/>
          <w:b/>
          <w:bCs/>
          <w:color w:val="auto"/>
          <w:sz w:val="32"/>
          <w:szCs w:val="32"/>
          <w:lang w:val="en-US" w:eastAsia="zh-CN"/>
        </w:rPr>
      </w:pPr>
      <w:r>
        <w:drawing>
          <wp:anchor distT="0" distB="0" distL="114300" distR="114300" simplePos="0" relativeHeight="251660288" behindDoc="0" locked="0" layoutInCell="1" allowOverlap="1">
            <wp:simplePos x="0" y="0"/>
            <wp:positionH relativeFrom="column">
              <wp:posOffset>728980</wp:posOffset>
            </wp:positionH>
            <wp:positionV relativeFrom="paragraph">
              <wp:posOffset>12065</wp:posOffset>
            </wp:positionV>
            <wp:extent cx="4291330" cy="3249930"/>
            <wp:effectExtent l="0" t="0" r="13970" b="762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291330" cy="3249930"/>
                    </a:xfrm>
                    <a:prstGeom prst="rect">
                      <a:avLst/>
                    </a:prstGeom>
                    <a:noFill/>
                    <a:ln>
                      <a:noFill/>
                    </a:ln>
                  </pic:spPr>
                </pic:pic>
              </a:graphicData>
            </a:graphic>
          </wp:anchor>
        </w:drawing>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right="0" w:rightChars="0" w:firstLine="643" w:firstLineChars="200"/>
        <w:jc w:val="both"/>
        <w:textAlignment w:val="auto"/>
        <w:rPr>
          <w:rFonts w:hint="eastAsia" w:ascii="楷体_GB2312" w:hAnsi="楷体_GB2312" w:eastAsia="楷体_GB2312" w:cs="楷体_GB2312"/>
          <w:b/>
          <w:bCs/>
          <w:color w:val="auto"/>
          <w:sz w:val="32"/>
          <w:szCs w:val="32"/>
          <w:lang w:val="en-US" w:eastAsia="zh-CN"/>
        </w:rPr>
      </w:pP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right="0" w:rightChars="0" w:firstLine="643" w:firstLineChars="200"/>
        <w:jc w:val="both"/>
        <w:textAlignment w:val="auto"/>
        <w:rPr>
          <w:rFonts w:hint="eastAsia" w:ascii="楷体_GB2312" w:hAnsi="楷体_GB2312" w:eastAsia="楷体_GB2312" w:cs="楷体_GB2312"/>
          <w:b/>
          <w:bCs/>
          <w:color w:val="auto"/>
          <w:sz w:val="32"/>
          <w:szCs w:val="32"/>
          <w:lang w:val="en-US" w:eastAsia="zh-CN"/>
        </w:rPr>
      </w:pP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right="0" w:rightChars="0" w:firstLine="643" w:firstLineChars="200"/>
        <w:jc w:val="both"/>
        <w:textAlignment w:val="auto"/>
        <w:rPr>
          <w:rFonts w:hint="eastAsia" w:ascii="楷体_GB2312" w:hAnsi="楷体_GB2312" w:eastAsia="楷体_GB2312" w:cs="楷体_GB2312"/>
          <w:b/>
          <w:bCs/>
          <w:color w:val="auto"/>
          <w:sz w:val="32"/>
          <w:szCs w:val="32"/>
          <w:lang w:val="en-US" w:eastAsia="zh-CN"/>
        </w:rPr>
      </w:pP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right="0" w:rightChars="0" w:firstLine="643" w:firstLineChars="200"/>
        <w:jc w:val="both"/>
        <w:textAlignment w:val="auto"/>
        <w:rPr>
          <w:rFonts w:hint="eastAsia" w:ascii="楷体_GB2312" w:hAnsi="楷体_GB2312" w:eastAsia="楷体_GB2312" w:cs="楷体_GB2312"/>
          <w:b/>
          <w:bCs/>
          <w:color w:val="auto"/>
          <w:sz w:val="32"/>
          <w:szCs w:val="32"/>
          <w:lang w:val="en-US" w:eastAsia="zh-CN"/>
        </w:rPr>
      </w:pP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right="0" w:rightChars="0" w:firstLine="643" w:firstLineChars="200"/>
        <w:jc w:val="both"/>
        <w:textAlignment w:val="auto"/>
        <w:rPr>
          <w:rFonts w:hint="eastAsia" w:ascii="楷体_GB2312" w:hAnsi="楷体_GB2312" w:eastAsia="楷体_GB2312" w:cs="楷体_GB2312"/>
          <w:b/>
          <w:bCs/>
          <w:color w:val="auto"/>
          <w:sz w:val="32"/>
          <w:szCs w:val="32"/>
          <w:lang w:val="en-US" w:eastAsia="zh-CN"/>
        </w:rPr>
      </w:pP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right="0" w:rightChars="0" w:firstLine="643" w:firstLineChars="200"/>
        <w:jc w:val="both"/>
        <w:textAlignment w:val="auto"/>
        <w:rPr>
          <w:rFonts w:hint="eastAsia" w:ascii="楷体_GB2312" w:hAnsi="楷体_GB2312" w:eastAsia="楷体_GB2312" w:cs="楷体_GB2312"/>
          <w:b/>
          <w:bCs/>
          <w:color w:val="auto"/>
          <w:sz w:val="32"/>
          <w:szCs w:val="32"/>
          <w:lang w:val="en-US" w:eastAsia="zh-CN"/>
        </w:rPr>
      </w:pP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right="0" w:rightChars="0" w:firstLine="643" w:firstLineChars="200"/>
        <w:jc w:val="both"/>
        <w:textAlignment w:val="auto"/>
        <w:rPr>
          <w:rFonts w:hint="eastAsia" w:ascii="楷体_GB2312" w:hAnsi="楷体_GB2312" w:eastAsia="楷体_GB2312" w:cs="楷体_GB2312"/>
          <w:b/>
          <w:bCs/>
          <w:color w:val="auto"/>
          <w:sz w:val="32"/>
          <w:szCs w:val="32"/>
          <w:lang w:val="en-US" w:eastAsia="zh-CN"/>
        </w:rPr>
      </w:pP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right="0" w:rightChars="0" w:firstLine="643" w:firstLineChars="200"/>
        <w:jc w:val="both"/>
        <w:textAlignment w:val="auto"/>
        <w:rPr>
          <w:rFonts w:hint="eastAsia" w:ascii="楷体_GB2312" w:hAnsi="楷体_GB2312" w:eastAsia="楷体_GB2312" w:cs="楷体_GB2312"/>
          <w:b/>
          <w:bCs/>
          <w:color w:val="auto"/>
          <w:sz w:val="32"/>
          <w:szCs w:val="32"/>
          <w:lang w:val="en-US" w:eastAsia="zh-CN"/>
        </w:rPr>
      </w:pP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right="0" w:rightChars="0" w:firstLine="480" w:firstLineChars="200"/>
        <w:jc w:val="both"/>
        <w:textAlignment w:val="auto"/>
        <w:rPr>
          <w:rFonts w:hint="eastAsia" w:ascii="楷体_GB2312" w:hAnsi="楷体_GB2312" w:eastAsia="楷体_GB2312" w:cs="楷体_GB2312"/>
          <w:b/>
          <w:bCs/>
          <w:color w:val="auto"/>
          <w:sz w:val="32"/>
          <w:szCs w:val="32"/>
          <w:lang w:val="en-US" w:eastAsia="zh-CN"/>
        </w:rPr>
      </w:pPr>
      <w:r>
        <w:drawing>
          <wp:anchor distT="0" distB="0" distL="114300" distR="114300" simplePos="0" relativeHeight="251659264" behindDoc="0" locked="0" layoutInCell="1" allowOverlap="1">
            <wp:simplePos x="0" y="0"/>
            <wp:positionH relativeFrom="column">
              <wp:posOffset>605155</wp:posOffset>
            </wp:positionH>
            <wp:positionV relativeFrom="paragraph">
              <wp:posOffset>213360</wp:posOffset>
            </wp:positionV>
            <wp:extent cx="4477385" cy="2426335"/>
            <wp:effectExtent l="4445" t="4445" r="13970" b="7620"/>
            <wp:wrapNone/>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right="0" w:rightChars="0" w:firstLine="643" w:firstLineChars="200"/>
        <w:jc w:val="both"/>
        <w:textAlignment w:val="auto"/>
        <w:rPr>
          <w:rFonts w:hint="eastAsia" w:ascii="楷体_GB2312" w:hAnsi="楷体_GB2312" w:eastAsia="楷体_GB2312" w:cs="楷体_GB2312"/>
          <w:b/>
          <w:bCs/>
          <w:color w:val="auto"/>
          <w:sz w:val="32"/>
          <w:szCs w:val="32"/>
          <w:lang w:val="en-US" w:eastAsia="zh-CN"/>
        </w:rPr>
      </w:pP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right="0" w:rightChars="0" w:firstLine="643" w:firstLineChars="200"/>
        <w:jc w:val="both"/>
        <w:textAlignment w:val="auto"/>
        <w:rPr>
          <w:rFonts w:hint="eastAsia" w:ascii="楷体_GB2312" w:hAnsi="楷体_GB2312" w:eastAsia="楷体_GB2312" w:cs="楷体_GB2312"/>
          <w:b/>
          <w:bCs/>
          <w:color w:val="auto"/>
          <w:sz w:val="32"/>
          <w:szCs w:val="32"/>
          <w:lang w:val="en-US" w:eastAsia="zh-CN"/>
        </w:rPr>
      </w:pP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right="0" w:rightChars="0" w:firstLine="643" w:firstLineChars="200"/>
        <w:jc w:val="both"/>
        <w:textAlignment w:val="auto"/>
        <w:rPr>
          <w:rFonts w:hint="eastAsia" w:ascii="楷体_GB2312" w:hAnsi="楷体_GB2312" w:eastAsia="楷体_GB2312" w:cs="楷体_GB2312"/>
          <w:b/>
          <w:bCs/>
          <w:color w:val="auto"/>
          <w:sz w:val="32"/>
          <w:szCs w:val="32"/>
          <w:lang w:val="en-US" w:eastAsia="zh-CN"/>
        </w:rPr>
      </w:pP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right="0" w:rightChars="0" w:firstLine="643" w:firstLineChars="200"/>
        <w:jc w:val="both"/>
        <w:textAlignment w:val="auto"/>
        <w:rPr>
          <w:rFonts w:hint="eastAsia" w:ascii="楷体_GB2312" w:hAnsi="楷体_GB2312" w:eastAsia="楷体_GB2312" w:cs="楷体_GB2312"/>
          <w:b/>
          <w:bCs/>
          <w:color w:val="auto"/>
          <w:sz w:val="32"/>
          <w:szCs w:val="32"/>
          <w:lang w:val="en-US" w:eastAsia="zh-CN"/>
        </w:rPr>
      </w:pP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right="0" w:rightChars="0" w:firstLine="643" w:firstLineChars="200"/>
        <w:jc w:val="both"/>
        <w:textAlignment w:val="auto"/>
        <w:rPr>
          <w:rFonts w:hint="eastAsia" w:ascii="楷体_GB2312" w:hAnsi="楷体_GB2312" w:eastAsia="楷体_GB2312" w:cs="楷体_GB2312"/>
          <w:b/>
          <w:bCs/>
          <w:color w:val="auto"/>
          <w:sz w:val="32"/>
          <w:szCs w:val="32"/>
          <w:lang w:val="en-US" w:eastAsia="zh-CN"/>
        </w:rPr>
      </w:pP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right="0" w:rightChars="0"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（二）依申请公开</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right="0" w:rightChars="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街道严格按照各级工作要求，依法妥善做好依申请公开工作，确保政府信息公开申请渠道畅通。张范街道共收到依申请公开件0件（其中官网收到0件，信件0件），按时回复0件。张范街道公开行政府信息公开行政诉讼总数0件。</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right="0" w:rightChars="0"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（三）政府信息管理</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right="0" w:rightChars="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严格按照法定时限发布并实时更新法定主动公开内容。明确责任，街道党政综合办公室为信息公开工作主管部门，并配备专职工作人员1名，负责推进、协调街道办事处政府信息公开工作，不断增强工作透明度，切实保障群众的知情权、参与权和监督权。</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right="0" w:rightChars="0"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（四）政府信息公开平台建设</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right="0" w:rightChars="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为进一步深化和规范政府信息公开工作，由分管负责人具体指导、监督全街道信息公开工作，各部门按职责要求分工落实政府信息公开各项工作，办公室负责政务公开日常工作。利用政务新媒体“枣庄高新区张范街道”公众号，及时、准确地发布街道的工作动态，</w:t>
      </w:r>
      <w:r>
        <w:rPr>
          <w:rFonts w:ascii="仿宋_GB2312" w:hAnsi="宋体" w:eastAsia="仿宋_GB2312" w:cs="仿宋_GB2312"/>
          <w:i w:val="0"/>
          <w:iCs w:val="0"/>
          <w:caps w:val="0"/>
          <w:color w:val="000000"/>
          <w:spacing w:val="0"/>
          <w:sz w:val="31"/>
          <w:szCs w:val="31"/>
        </w:rPr>
        <w:t>方便群众浏览、知晓</w:t>
      </w:r>
      <w:r>
        <w:rPr>
          <w:rFonts w:hint="eastAsia" w:ascii="仿宋_GB2312" w:hAnsi="宋体" w:eastAsia="仿宋_GB2312" w:cs="仿宋_GB2312"/>
          <w:i w:val="0"/>
          <w:iCs w:val="0"/>
          <w:caps w:val="0"/>
          <w:color w:val="000000"/>
          <w:spacing w:val="0"/>
          <w:sz w:val="31"/>
          <w:szCs w:val="31"/>
          <w:lang w:eastAsia="zh-CN"/>
        </w:rPr>
        <w:t>，</w:t>
      </w:r>
      <w:r>
        <w:rPr>
          <w:rFonts w:hint="eastAsia" w:ascii="Times New Roman" w:hAnsi="Times New Roman" w:eastAsia="仿宋_GB2312" w:cs="Times New Roman"/>
          <w:color w:val="auto"/>
          <w:sz w:val="32"/>
          <w:szCs w:val="32"/>
          <w:lang w:val="en-US" w:eastAsia="zh-CN"/>
        </w:rPr>
        <w:t>确保政府信息公开工作有效开展。</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right="0" w:rightChars="0"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（五）监督保障</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right="0" w:rightChars="0" w:firstLine="643"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一是</w:t>
      </w:r>
      <w:r>
        <w:rPr>
          <w:rFonts w:hint="eastAsia" w:ascii="Times New Roman" w:hAnsi="Times New Roman" w:eastAsia="仿宋_GB2312" w:cs="Times New Roman"/>
          <w:color w:val="auto"/>
          <w:sz w:val="32"/>
          <w:szCs w:val="32"/>
          <w:lang w:val="en-US" w:eastAsia="zh-CN"/>
        </w:rPr>
        <w:t>加强日常监督机制，每月定期排查主动公开、政策解读、互动交流、网站和政务新媒体运行等工作情况。</w:t>
      </w:r>
      <w:r>
        <w:rPr>
          <w:rFonts w:hint="eastAsia" w:ascii="Times New Roman" w:hAnsi="Times New Roman" w:eastAsia="仿宋_GB2312" w:cs="Times New Roman"/>
          <w:b/>
          <w:bCs/>
          <w:color w:val="auto"/>
          <w:sz w:val="32"/>
          <w:szCs w:val="32"/>
          <w:lang w:val="en-US" w:eastAsia="zh-CN"/>
        </w:rPr>
        <w:t>二是</w:t>
      </w:r>
      <w:r>
        <w:rPr>
          <w:rFonts w:hint="eastAsia" w:ascii="Times New Roman" w:hAnsi="Times New Roman" w:eastAsia="仿宋_GB2312" w:cs="Times New Roman"/>
          <w:color w:val="auto"/>
          <w:sz w:val="32"/>
          <w:szCs w:val="32"/>
          <w:lang w:val="en-US" w:eastAsia="zh-CN"/>
        </w:rPr>
        <w:t>积极参加各级业务培训，积极参加全区及街道政务信息公开相关培训，提高工作人员业务能力和工作素养，推动街道政务公开规范化水平提升。</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60" w:lineRule="exact"/>
        <w:ind w:right="0" w:rightChars="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黑体" w:hAnsi="黑体" w:eastAsia="黑体" w:cs="黑体"/>
          <w:color w:val="auto"/>
          <w:sz w:val="32"/>
          <w:szCs w:val="32"/>
        </w:rPr>
        <w:t>二、行政机关主动公开政府信息情况</w:t>
      </w:r>
    </w:p>
    <w:tbl>
      <w:tblPr>
        <w:tblStyle w:val="4"/>
        <w:tblW w:w="8824" w:type="dxa"/>
        <w:tblInd w:w="0" w:type="dxa"/>
        <w:shd w:val="clear" w:color="auto" w:fill="auto"/>
        <w:tblLayout w:type="fixed"/>
        <w:tblCellMar>
          <w:top w:w="0" w:type="dxa"/>
          <w:left w:w="108" w:type="dxa"/>
          <w:bottom w:w="0" w:type="dxa"/>
          <w:right w:w="108" w:type="dxa"/>
        </w:tblCellMar>
      </w:tblPr>
      <w:tblGrid>
        <w:gridCol w:w="2206"/>
        <w:gridCol w:w="2206"/>
        <w:gridCol w:w="2206"/>
        <w:gridCol w:w="2206"/>
      </w:tblGrid>
      <w:tr>
        <w:tblPrEx>
          <w:shd w:val="clear" w:color="auto" w:fill="auto"/>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0</w:t>
            </w:r>
          </w:p>
        </w:tc>
      </w:tr>
    </w:tbl>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Autospacing="0" w:line="560" w:lineRule="exact"/>
        <w:ind w:right="0" w:righ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行政机关收到和处理政府信息公开申请情况</w:t>
      </w:r>
    </w:p>
    <w:tbl>
      <w:tblPr>
        <w:tblStyle w:val="4"/>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color w:val="auto"/>
                <w:kern w:val="0"/>
                <w:szCs w:val="21"/>
              </w:rPr>
            </w:pPr>
            <w:r>
              <w:rPr>
                <w:rFonts w:hint="eastAsia" w:ascii="楷体_GB2312" w:hAnsi="黑体" w:eastAsia="楷体_GB2312"/>
                <w:color w:val="auto"/>
                <w:kern w:val="0"/>
                <w:szCs w:val="21"/>
              </w:rPr>
              <w:t>（本列数据的勾稽关系为：第一项加第二项之和，</w:t>
            </w:r>
          </w:p>
          <w:p>
            <w:pPr>
              <w:widowControl/>
              <w:jc w:val="center"/>
              <w:rPr>
                <w:rFonts w:ascii="仿宋_GB2312" w:hAnsi="Times New Roman" w:eastAsia="仿宋_GB2312"/>
                <w:color w:val="auto"/>
                <w:szCs w:val="21"/>
              </w:rPr>
            </w:pPr>
            <w:r>
              <w:rPr>
                <w:rFonts w:hint="eastAsia" w:ascii="楷体_GB2312" w:hAnsi="黑体" w:eastAsia="楷体_GB2312"/>
                <w:color w:val="auto"/>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color w:val="auto"/>
                <w:szCs w:val="21"/>
              </w:rPr>
            </w:pPr>
            <w:r>
              <w:rPr>
                <w:rFonts w:hint="eastAsia" w:ascii="黑体" w:hAnsi="黑体" w:eastAsia="黑体"/>
                <w:color w:val="auto"/>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color w:val="auto"/>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color w:val="auto"/>
                <w:szCs w:val="21"/>
              </w:rPr>
            </w:pPr>
            <w:r>
              <w:rPr>
                <w:rFonts w:hint="eastAsia" w:ascii="黑体" w:hAnsi="黑体" w:eastAsia="黑体"/>
                <w:color w:val="auto"/>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color w:val="auto"/>
                <w:szCs w:val="21"/>
              </w:rPr>
            </w:pPr>
            <w:r>
              <w:rPr>
                <w:rFonts w:hint="eastAsia" w:ascii="黑体" w:hAnsi="黑体" w:eastAsia="黑体"/>
                <w:color w:val="auto"/>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color w:val="auto"/>
                <w:szCs w:val="21"/>
              </w:rPr>
            </w:pPr>
            <w:r>
              <w:rPr>
                <w:rFonts w:hint="eastAsia" w:ascii="黑体" w:hAnsi="黑体" w:eastAsia="黑体"/>
                <w:color w:val="auto"/>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color w:val="auto"/>
                <w:szCs w:val="21"/>
              </w:rPr>
            </w:pPr>
          </w:p>
        </w:tc>
        <w:tc>
          <w:tcPr>
            <w:tcW w:w="829"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color w:val="auto"/>
                <w:szCs w:val="21"/>
              </w:rPr>
            </w:pPr>
            <w:r>
              <w:rPr>
                <w:rFonts w:hint="eastAsia" w:ascii="黑体" w:hAnsi="黑体" w:eastAsia="黑体"/>
                <w:color w:val="auto"/>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color w:val="auto"/>
                <w:szCs w:val="21"/>
              </w:rPr>
            </w:pPr>
            <w:r>
              <w:rPr>
                <w:rFonts w:hint="eastAsia" w:ascii="黑体" w:hAnsi="黑体" w:eastAsia="黑体"/>
                <w:color w:val="auto"/>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color w:val="auto"/>
                <w:szCs w:val="21"/>
              </w:rPr>
            </w:pPr>
            <w:r>
              <w:rPr>
                <w:rFonts w:hint="eastAsia" w:ascii="黑体" w:hAnsi="黑体" w:eastAsia="黑体"/>
                <w:color w:val="auto"/>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color w:val="auto"/>
                <w:szCs w:val="21"/>
              </w:rPr>
            </w:pPr>
            <w:r>
              <w:rPr>
                <w:rFonts w:hint="eastAsia" w:ascii="黑体" w:hAnsi="黑体" w:eastAsia="黑体"/>
                <w:color w:val="auto"/>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color w:val="auto"/>
                <w:szCs w:val="21"/>
              </w:rPr>
            </w:pPr>
            <w:r>
              <w:rPr>
                <w:rFonts w:hint="eastAsia" w:ascii="黑体" w:hAnsi="黑体" w:eastAsia="黑体"/>
                <w:color w:val="auto"/>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color w:val="auto"/>
                <w:szCs w:val="21"/>
              </w:rPr>
            </w:pPr>
            <w:r>
              <w:rPr>
                <w:rFonts w:hint="eastAsia" w:ascii="黑体" w:hAnsi="黑体" w:eastAsia="黑体"/>
                <w:color w:val="auto"/>
                <w:kern w:val="0"/>
                <w:szCs w:val="21"/>
              </w:rPr>
              <w:t>一、</w:t>
            </w:r>
            <w:bookmarkStart w:id="0" w:name="_Hlk66973412"/>
            <w:r>
              <w:rPr>
                <w:rFonts w:hint="eastAsia" w:ascii="黑体" w:hAnsi="黑体" w:eastAsia="黑体"/>
                <w:color w:val="auto"/>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color w:val="auto"/>
                <w:szCs w:val="21"/>
              </w:rPr>
            </w:pPr>
            <w:r>
              <w:rPr>
                <w:rFonts w:hint="eastAsia" w:ascii="黑体" w:hAnsi="黑体" w:eastAsia="黑体"/>
                <w:color w:val="auto"/>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color w:val="auto"/>
                <w:szCs w:val="21"/>
              </w:rPr>
            </w:pPr>
            <w:r>
              <w:rPr>
                <w:rFonts w:hint="eastAsia" w:ascii="黑体" w:hAnsi="黑体" w:eastAsia="黑体"/>
                <w:color w:val="auto"/>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color w:val="auto"/>
                <w:szCs w:val="21"/>
              </w:rPr>
            </w:pPr>
            <w:r>
              <w:rPr>
                <w:rFonts w:hint="eastAsia" w:ascii="黑体" w:hAnsi="黑体" w:eastAsia="黑体"/>
                <w:color w:val="auto"/>
                <w:kern w:val="0"/>
                <w:szCs w:val="21"/>
              </w:rPr>
              <w:t>（一）予以公开</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4677" w:type="dxa"/>
            <w:gridSpan w:val="2"/>
            <w:shd w:val="clear" w:color="auto" w:fill="auto"/>
            <w:tcMar>
              <w:left w:w="108" w:type="dxa"/>
              <w:right w:w="108" w:type="dxa"/>
            </w:tcMar>
            <w:vAlign w:val="center"/>
          </w:tcPr>
          <w:p>
            <w:pPr>
              <w:widowControl/>
              <w:rPr>
                <w:rFonts w:ascii="黑体" w:hAnsi="黑体" w:eastAsia="黑体"/>
                <w:color w:val="auto"/>
                <w:szCs w:val="21"/>
              </w:rPr>
            </w:pPr>
            <w:r>
              <w:rPr>
                <w:rFonts w:hint="eastAsia" w:ascii="黑体" w:hAnsi="黑体" w:eastAsia="黑体"/>
                <w:color w:val="auto"/>
                <w:kern w:val="0"/>
                <w:szCs w:val="21"/>
              </w:rPr>
              <w:t>（二）部分公开（</w:t>
            </w:r>
            <w:bookmarkStart w:id="1" w:name="_Hlk66973981"/>
            <w:r>
              <w:rPr>
                <w:rFonts w:hint="eastAsia" w:ascii="黑体" w:hAnsi="黑体" w:eastAsia="黑体"/>
                <w:color w:val="auto"/>
                <w:kern w:val="0"/>
                <w:szCs w:val="21"/>
              </w:rPr>
              <w:t>区分处理的，只计这一情形，不计其他情形</w:t>
            </w:r>
            <w:bookmarkEnd w:id="1"/>
            <w:r>
              <w:rPr>
                <w:rFonts w:hint="eastAsia" w:ascii="黑体" w:hAnsi="黑体" w:eastAsia="黑体"/>
                <w:color w:val="auto"/>
                <w:kern w:val="0"/>
                <w:szCs w:val="21"/>
              </w:rPr>
              <w:t>）</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color w:val="auto"/>
                <w:szCs w:val="21"/>
              </w:rPr>
            </w:pPr>
            <w:r>
              <w:rPr>
                <w:rFonts w:hint="eastAsia" w:ascii="黑体" w:hAnsi="黑体" w:eastAsia="黑体"/>
                <w:color w:val="auto"/>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1.属于国家秘密</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2.</w:t>
            </w:r>
            <w:bookmarkStart w:id="2" w:name="_Hlk66974104"/>
            <w:r>
              <w:rPr>
                <w:rFonts w:hint="eastAsia" w:ascii="仿宋_GB2312" w:hAnsi="黑体" w:eastAsia="仿宋_GB2312"/>
                <w:color w:val="auto"/>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3.危及“三安全一稳定”</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4.</w:t>
            </w:r>
            <w:bookmarkStart w:id="3" w:name="_Hlk66974290"/>
            <w:r>
              <w:rPr>
                <w:rFonts w:hint="eastAsia" w:ascii="仿宋_GB2312" w:hAnsi="黑体" w:eastAsia="仿宋_GB2312"/>
                <w:color w:val="auto"/>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5.属于三类内部事务信息</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6.</w:t>
            </w:r>
            <w:bookmarkStart w:id="4" w:name="_Hlk66974555"/>
            <w:r>
              <w:rPr>
                <w:rFonts w:hint="eastAsia" w:ascii="仿宋_GB2312" w:hAnsi="黑体" w:eastAsia="仿宋_GB2312"/>
                <w:color w:val="auto"/>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7.属于行政执法案卷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1"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8.</w:t>
            </w:r>
            <w:bookmarkStart w:id="5" w:name="_Hlk66975211"/>
            <w:r>
              <w:rPr>
                <w:rFonts w:hint="eastAsia" w:ascii="仿宋_GB2312" w:hAnsi="黑体" w:eastAsia="仿宋_GB2312"/>
                <w:color w:val="auto"/>
                <w:kern w:val="0"/>
                <w:szCs w:val="21"/>
              </w:rPr>
              <w:t>属于行政查询事项</w:t>
            </w:r>
            <w:bookmarkEnd w:id="5"/>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color w:val="auto"/>
                <w:szCs w:val="21"/>
              </w:rPr>
            </w:pPr>
            <w:r>
              <w:rPr>
                <w:rFonts w:hint="eastAsia" w:ascii="黑体" w:hAnsi="黑体" w:eastAsia="黑体"/>
                <w:color w:val="auto"/>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1.本机关不掌握相关政府信息</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2.</w:t>
            </w:r>
            <w:bookmarkStart w:id="6" w:name="_Hlk66975392"/>
            <w:r>
              <w:rPr>
                <w:rFonts w:hint="eastAsia" w:ascii="仿宋_GB2312" w:hAnsi="黑体" w:eastAsia="仿宋_GB2312"/>
                <w:color w:val="auto"/>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3.</w:t>
            </w:r>
            <w:bookmarkStart w:id="7" w:name="_Hlk66975466"/>
            <w:r>
              <w:rPr>
                <w:rFonts w:hint="eastAsia" w:ascii="仿宋_GB2312" w:hAnsi="黑体" w:eastAsia="仿宋_GB2312"/>
                <w:color w:val="auto"/>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color w:val="auto"/>
                <w:szCs w:val="21"/>
              </w:rPr>
            </w:pPr>
            <w:r>
              <w:rPr>
                <w:rFonts w:hint="eastAsia" w:ascii="黑体" w:hAnsi="黑体" w:eastAsia="黑体"/>
                <w:color w:val="auto"/>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1.</w:t>
            </w:r>
            <w:bookmarkStart w:id="8" w:name="_Hlk66975537"/>
            <w:r>
              <w:rPr>
                <w:rFonts w:hint="eastAsia" w:ascii="仿宋_GB2312" w:hAnsi="黑体" w:eastAsia="仿宋_GB2312"/>
                <w:color w:val="auto"/>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2.重复申请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szCs w:val="21"/>
              </w:rPr>
            </w:pPr>
            <w:r>
              <w:rPr>
                <w:rFonts w:hint="eastAsia" w:ascii="仿宋_GB2312" w:hAnsi="黑体" w:eastAsia="仿宋_GB2312"/>
                <w:color w:val="auto"/>
                <w:kern w:val="0"/>
                <w:szCs w:val="21"/>
              </w:rPr>
              <w:t>3.要求提供公开出版物</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szCs w:val="21"/>
              </w:rPr>
            </w:pPr>
            <w:r>
              <w:rPr>
                <w:rFonts w:hint="eastAsia" w:ascii="仿宋_GB2312" w:hAnsi="黑体" w:eastAsia="仿宋_GB2312"/>
                <w:color w:val="auto"/>
                <w:kern w:val="0"/>
                <w:szCs w:val="21"/>
              </w:rPr>
              <w:t>4.无正当理由大量反复申请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color w:val="auto"/>
                <w:kern w:val="0"/>
                <w:szCs w:val="21"/>
              </w:rPr>
            </w:pPr>
            <w:r>
              <w:rPr>
                <w:rFonts w:hint="eastAsia" w:ascii="仿宋_GB2312" w:hAnsi="黑体" w:eastAsia="仿宋_GB2312"/>
                <w:color w:val="auto"/>
                <w:kern w:val="0"/>
                <w:szCs w:val="21"/>
              </w:rPr>
              <w:t>5.要求行政机关确认或重新</w:t>
            </w:r>
          </w:p>
          <w:p>
            <w:pPr>
              <w:widowControl/>
              <w:spacing w:line="300" w:lineRule="exact"/>
              <w:ind w:firstLine="210" w:firstLineChars="100"/>
              <w:rPr>
                <w:rFonts w:ascii="仿宋_GB2312" w:hAnsi="黑体" w:eastAsia="仿宋_GB2312"/>
                <w:color w:val="auto"/>
                <w:szCs w:val="21"/>
              </w:rPr>
            </w:pPr>
            <w:r>
              <w:rPr>
                <w:rFonts w:hint="eastAsia" w:ascii="仿宋_GB2312" w:hAnsi="黑体" w:eastAsia="仿宋_GB2312"/>
                <w:color w:val="auto"/>
                <w:kern w:val="0"/>
                <w:szCs w:val="21"/>
              </w:rPr>
              <w:t>出具已获取信息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r>
              <w:rPr>
                <w:rFonts w:hint="eastAsia" w:ascii="黑体" w:hAnsi="黑体" w:eastAsia="黑体"/>
                <w:color w:val="auto"/>
                <w:kern w:val="0"/>
                <w:szCs w:val="21"/>
              </w:rPr>
              <w:t>（六）其他处理</w:t>
            </w:r>
          </w:p>
        </w:tc>
        <w:tc>
          <w:tcPr>
            <w:tcW w:w="2976" w:type="dxa"/>
            <w:shd w:val="clear" w:color="auto" w:fill="auto"/>
            <w:vAlign w:val="center"/>
          </w:tcPr>
          <w:p>
            <w:pPr>
              <w:widowControl/>
              <w:spacing w:line="300" w:lineRule="exact"/>
              <w:rPr>
                <w:rFonts w:ascii="仿宋_GB2312" w:hAnsi="楷体" w:eastAsia="仿宋_GB2312"/>
                <w:color w:val="auto"/>
              </w:rPr>
            </w:pPr>
            <w:r>
              <w:rPr>
                <w:rFonts w:hint="eastAsia" w:ascii="仿宋_GB2312" w:hAnsi="楷体" w:eastAsia="仿宋_GB2312"/>
                <w:color w:val="auto"/>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p>
        </w:tc>
        <w:tc>
          <w:tcPr>
            <w:tcW w:w="2976" w:type="dxa"/>
            <w:shd w:val="clear" w:color="auto" w:fill="auto"/>
            <w:vAlign w:val="center"/>
          </w:tcPr>
          <w:p>
            <w:pPr>
              <w:widowControl/>
              <w:spacing w:line="300" w:lineRule="exact"/>
              <w:rPr>
                <w:rFonts w:ascii="仿宋_GB2312" w:hAnsi="黑体" w:eastAsia="仿宋_GB2312"/>
                <w:color w:val="auto"/>
                <w:kern w:val="0"/>
                <w:szCs w:val="21"/>
              </w:rPr>
            </w:pPr>
            <w:r>
              <w:rPr>
                <w:rFonts w:hint="eastAsia" w:ascii="仿宋_GB2312" w:hAnsi="楷体" w:eastAsia="仿宋_GB2312"/>
                <w:color w:val="auto"/>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p>
        </w:tc>
        <w:tc>
          <w:tcPr>
            <w:tcW w:w="2976" w:type="dxa"/>
            <w:shd w:val="clear" w:color="auto" w:fill="auto"/>
            <w:vAlign w:val="center"/>
          </w:tcPr>
          <w:p>
            <w:pPr>
              <w:widowControl/>
              <w:spacing w:line="300" w:lineRule="exact"/>
              <w:rPr>
                <w:rFonts w:ascii="仿宋_GB2312" w:hAnsi="黑体" w:eastAsia="仿宋_GB2312"/>
                <w:color w:val="auto"/>
                <w:kern w:val="0"/>
                <w:szCs w:val="21"/>
              </w:rPr>
            </w:pPr>
            <w:r>
              <w:rPr>
                <w:rFonts w:hint="eastAsia" w:ascii="仿宋_GB2312" w:hAnsi="楷体" w:eastAsia="仿宋_GB2312"/>
                <w:color w:val="auto"/>
              </w:rPr>
              <w:t>3.其他</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r>
              <w:rPr>
                <w:rFonts w:hint="eastAsia" w:ascii="黑体" w:hAnsi="黑体" w:eastAsia="黑体"/>
                <w:color w:val="auto"/>
                <w:kern w:val="0"/>
                <w:szCs w:val="21"/>
              </w:rPr>
              <w:t>（七）总计</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r>
              <w:rPr>
                <w:rFonts w:hint="eastAsia" w:ascii="黑体" w:hAnsi="黑体" w:eastAsia="黑体"/>
                <w:color w:val="auto"/>
                <w:kern w:val="0"/>
                <w:szCs w:val="21"/>
              </w:rPr>
              <w:t>四、结转下年度继续办理</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bl>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60" w:lineRule="exact"/>
        <w:ind w:right="0" w:rightChars="0"/>
        <w:jc w:val="both"/>
        <w:textAlignment w:val="auto"/>
        <w:rPr>
          <w:rFonts w:hint="eastAsia" w:ascii="黑体" w:hAnsi="黑体" w:eastAsia="黑体" w:cs="黑体"/>
          <w:b w:val="0"/>
          <w:bCs/>
          <w:color w:val="auto"/>
          <w:sz w:val="32"/>
          <w:szCs w:val="32"/>
          <w:lang w:val="en-US" w:eastAsia="zh-CN"/>
        </w:rPr>
      </w:pPr>
      <w:r>
        <w:rPr>
          <w:rStyle w:val="6"/>
          <w:rFonts w:hint="eastAsia" w:ascii="楷体" w:hAnsi="楷体" w:eastAsia="楷体" w:cs="楷体"/>
          <w:spacing w:val="8"/>
          <w:sz w:val="32"/>
          <w:szCs w:val="32"/>
        </w:rPr>
        <w:t> </w:t>
      </w:r>
      <w:r>
        <w:rPr>
          <w:rStyle w:val="6"/>
          <w:rFonts w:hint="eastAsia" w:ascii="楷体" w:hAnsi="楷体" w:eastAsia="楷体" w:cs="楷体"/>
          <w:spacing w:val="8"/>
          <w:sz w:val="32"/>
          <w:szCs w:val="32"/>
          <w:lang w:val="en-US" w:eastAsia="zh-CN"/>
        </w:rPr>
        <w:t xml:space="preserve">   </w:t>
      </w:r>
      <w:r>
        <w:rPr>
          <w:rStyle w:val="6"/>
          <w:rFonts w:hint="eastAsia" w:ascii="黑体" w:hAnsi="黑体" w:eastAsia="黑体" w:cs="黑体"/>
          <w:b w:val="0"/>
          <w:bCs/>
          <w:spacing w:val="8"/>
          <w:sz w:val="32"/>
          <w:szCs w:val="32"/>
        </w:rPr>
        <w:t>四</w:t>
      </w:r>
      <w:r>
        <w:rPr>
          <w:rStyle w:val="6"/>
          <w:rFonts w:hint="eastAsia" w:ascii="黑体" w:hAnsi="黑体" w:eastAsia="黑体" w:cs="黑体"/>
          <w:b w:val="0"/>
          <w:bCs/>
          <w:spacing w:val="8"/>
          <w:sz w:val="32"/>
          <w:szCs w:val="32"/>
          <w:lang w:eastAsia="zh-CN"/>
        </w:rPr>
        <w:t>、</w:t>
      </w:r>
      <w:r>
        <w:rPr>
          <w:rStyle w:val="6"/>
          <w:rFonts w:hint="eastAsia" w:ascii="黑体" w:hAnsi="黑体" w:eastAsia="黑体" w:cs="黑体"/>
          <w:b w:val="0"/>
          <w:bCs/>
          <w:spacing w:val="8"/>
          <w:sz w:val="32"/>
          <w:szCs w:val="32"/>
        </w:rPr>
        <w:t>因政府信息公开工作被申请行政复议、提起行政诉讼情况</w:t>
      </w:r>
    </w:p>
    <w:tbl>
      <w:tblPr>
        <w:tblStyle w:val="4"/>
        <w:tblW w:w="999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64"/>
        <w:gridCol w:w="664"/>
        <w:gridCol w:w="664"/>
        <w:gridCol w:w="664"/>
        <w:gridCol w:w="731"/>
        <w:gridCol w:w="605"/>
        <w:gridCol w:w="665"/>
        <w:gridCol w:w="665"/>
        <w:gridCol w:w="665"/>
        <w:gridCol w:w="674"/>
        <w:gridCol w:w="665"/>
        <w:gridCol w:w="665"/>
        <w:gridCol w:w="665"/>
        <w:gridCol w:w="666"/>
        <w:gridCol w:w="67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2" w:hRule="atLeast"/>
          <w:jc w:val="center"/>
        </w:trPr>
        <w:tc>
          <w:tcPr>
            <w:tcW w:w="3387"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行政复议</w:t>
            </w:r>
          </w:p>
        </w:tc>
        <w:tc>
          <w:tcPr>
            <w:tcW w:w="6612"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8" w:hRule="atLeast"/>
          <w:jc w:val="center"/>
        </w:trPr>
        <w:tc>
          <w:tcPr>
            <w:tcW w:w="66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color w:val="auto"/>
                <w:kern w:val="0"/>
                <w:sz w:val="20"/>
                <w:szCs w:val="20"/>
              </w:rPr>
            </w:pPr>
            <w:r>
              <w:rPr>
                <w:rFonts w:ascii="黑体" w:hAnsi="黑体" w:eastAsia="黑体"/>
                <w:color w:val="auto"/>
                <w:kern w:val="0"/>
                <w:sz w:val="20"/>
                <w:szCs w:val="20"/>
              </w:rPr>
              <w:t>结果</w:t>
            </w:r>
          </w:p>
          <w:p>
            <w:pPr>
              <w:widowControl/>
              <w:ind w:left="-149" w:leftChars="-71" w:right="-170" w:rightChars="-81"/>
              <w:jc w:val="center"/>
              <w:rPr>
                <w:rFonts w:ascii="黑体" w:hAnsi="黑体" w:eastAsia="黑体"/>
                <w:color w:val="auto"/>
              </w:rPr>
            </w:pPr>
            <w:r>
              <w:rPr>
                <w:rFonts w:ascii="黑体" w:hAnsi="黑体" w:eastAsia="黑体"/>
                <w:color w:val="auto"/>
                <w:kern w:val="0"/>
                <w:sz w:val="20"/>
                <w:szCs w:val="20"/>
              </w:rPr>
              <w:t>维持</w:t>
            </w:r>
          </w:p>
        </w:tc>
        <w:tc>
          <w:tcPr>
            <w:tcW w:w="66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color w:val="auto"/>
                <w:kern w:val="0"/>
                <w:sz w:val="20"/>
                <w:szCs w:val="20"/>
              </w:rPr>
            </w:pPr>
            <w:r>
              <w:rPr>
                <w:rFonts w:ascii="黑体" w:hAnsi="黑体" w:eastAsia="黑体"/>
                <w:color w:val="auto"/>
                <w:kern w:val="0"/>
                <w:sz w:val="20"/>
                <w:szCs w:val="20"/>
              </w:rPr>
              <w:t>结果</w:t>
            </w:r>
          </w:p>
          <w:p>
            <w:pPr>
              <w:widowControl/>
              <w:ind w:left="-43" w:leftChars="-21" w:right="-132" w:rightChars="-63" w:hanging="1"/>
              <w:jc w:val="center"/>
              <w:rPr>
                <w:rFonts w:ascii="黑体" w:hAnsi="黑体" w:eastAsia="黑体"/>
                <w:color w:val="auto"/>
              </w:rPr>
            </w:pPr>
            <w:r>
              <w:rPr>
                <w:rFonts w:ascii="黑体" w:hAnsi="黑体" w:eastAsia="黑体"/>
                <w:color w:val="auto"/>
                <w:kern w:val="0"/>
                <w:sz w:val="20"/>
                <w:szCs w:val="20"/>
              </w:rPr>
              <w:t>纠正</w:t>
            </w:r>
          </w:p>
        </w:tc>
        <w:tc>
          <w:tcPr>
            <w:tcW w:w="66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color w:val="auto"/>
                <w:kern w:val="0"/>
                <w:sz w:val="20"/>
                <w:szCs w:val="20"/>
              </w:rPr>
            </w:pPr>
            <w:r>
              <w:rPr>
                <w:rFonts w:ascii="黑体" w:hAnsi="黑体" w:eastAsia="黑体"/>
                <w:color w:val="auto"/>
                <w:kern w:val="0"/>
                <w:sz w:val="20"/>
                <w:szCs w:val="20"/>
              </w:rPr>
              <w:t>其他</w:t>
            </w:r>
          </w:p>
          <w:p>
            <w:pPr>
              <w:widowControl/>
              <w:ind w:left="-82" w:leftChars="-39" w:right="-97" w:rightChars="-46"/>
              <w:jc w:val="center"/>
              <w:rPr>
                <w:rFonts w:ascii="黑体" w:hAnsi="黑体" w:eastAsia="黑体"/>
                <w:color w:val="auto"/>
              </w:rPr>
            </w:pPr>
            <w:r>
              <w:rPr>
                <w:rFonts w:ascii="黑体" w:hAnsi="黑体" w:eastAsia="黑体"/>
                <w:color w:val="auto"/>
                <w:kern w:val="0"/>
                <w:sz w:val="20"/>
                <w:szCs w:val="20"/>
              </w:rPr>
              <w:t>结果</w:t>
            </w:r>
          </w:p>
        </w:tc>
        <w:tc>
          <w:tcPr>
            <w:tcW w:w="66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color w:val="auto"/>
                <w:kern w:val="0"/>
                <w:sz w:val="20"/>
                <w:szCs w:val="20"/>
              </w:rPr>
            </w:pPr>
            <w:r>
              <w:rPr>
                <w:rFonts w:ascii="黑体" w:hAnsi="黑体" w:eastAsia="黑体"/>
                <w:color w:val="auto"/>
                <w:kern w:val="0"/>
                <w:sz w:val="20"/>
                <w:szCs w:val="20"/>
              </w:rPr>
              <w:t>尚未</w:t>
            </w:r>
          </w:p>
          <w:p>
            <w:pPr>
              <w:widowControl/>
              <w:ind w:left="-118" w:leftChars="-56" w:right="-118" w:rightChars="-56"/>
              <w:jc w:val="center"/>
              <w:rPr>
                <w:rFonts w:ascii="黑体" w:hAnsi="黑体" w:eastAsia="黑体"/>
                <w:color w:val="auto"/>
              </w:rPr>
            </w:pPr>
            <w:r>
              <w:rPr>
                <w:rFonts w:ascii="黑体" w:hAnsi="黑体" w:eastAsia="黑体"/>
                <w:color w:val="auto"/>
                <w:kern w:val="0"/>
                <w:sz w:val="20"/>
                <w:szCs w:val="20"/>
              </w:rPr>
              <w:t>审结</w:t>
            </w:r>
          </w:p>
        </w:tc>
        <w:tc>
          <w:tcPr>
            <w:tcW w:w="731"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color w:val="auto"/>
              </w:rPr>
            </w:pPr>
            <w:r>
              <w:rPr>
                <w:rFonts w:ascii="黑体" w:hAnsi="黑体" w:eastAsia="黑体"/>
                <w:color w:val="auto"/>
                <w:kern w:val="0"/>
                <w:sz w:val="20"/>
                <w:szCs w:val="20"/>
              </w:rPr>
              <w:t>总计</w:t>
            </w:r>
          </w:p>
        </w:tc>
        <w:tc>
          <w:tcPr>
            <w:tcW w:w="3274"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未经复议直接起诉</w:t>
            </w:r>
          </w:p>
        </w:tc>
        <w:tc>
          <w:tcPr>
            <w:tcW w:w="3338"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bookmarkStart w:id="9" w:name="_Hlk67039688"/>
            <w:r>
              <w:rPr>
                <w:rFonts w:ascii="黑体" w:hAnsi="黑体" w:eastAsia="黑体"/>
                <w:color w:val="auto"/>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23" w:hRule="atLeast"/>
          <w:jc w:val="center"/>
        </w:trPr>
        <w:tc>
          <w:tcPr>
            <w:tcW w:w="66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黑体" w:hAnsi="黑体" w:eastAsia="黑体"/>
                <w:color w:val="auto"/>
                <w:sz w:val="24"/>
              </w:rPr>
            </w:pPr>
          </w:p>
        </w:tc>
        <w:tc>
          <w:tcPr>
            <w:tcW w:w="66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黑体" w:hAnsi="黑体" w:eastAsia="黑体"/>
                <w:color w:val="auto"/>
                <w:sz w:val="24"/>
              </w:rPr>
            </w:pPr>
          </w:p>
        </w:tc>
        <w:tc>
          <w:tcPr>
            <w:tcW w:w="66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ascii="黑体" w:hAnsi="黑体" w:eastAsia="黑体"/>
                <w:color w:val="auto"/>
                <w:sz w:val="24"/>
              </w:rPr>
            </w:pPr>
          </w:p>
        </w:tc>
        <w:tc>
          <w:tcPr>
            <w:tcW w:w="66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ascii="黑体" w:hAnsi="黑体" w:eastAsia="黑体"/>
                <w:color w:val="auto"/>
                <w:sz w:val="24"/>
              </w:rPr>
            </w:pPr>
          </w:p>
        </w:tc>
        <w:tc>
          <w:tcPr>
            <w:tcW w:w="731"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ascii="黑体" w:hAnsi="黑体" w:eastAsia="黑体"/>
                <w:color w:val="auto"/>
                <w:sz w:val="24"/>
              </w:rPr>
            </w:pP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color w:val="auto"/>
                <w:kern w:val="0"/>
                <w:sz w:val="20"/>
                <w:szCs w:val="20"/>
              </w:rPr>
            </w:pPr>
            <w:r>
              <w:rPr>
                <w:rFonts w:ascii="黑体" w:hAnsi="黑体" w:eastAsia="黑体"/>
                <w:color w:val="auto"/>
                <w:kern w:val="0"/>
                <w:sz w:val="20"/>
                <w:szCs w:val="20"/>
              </w:rPr>
              <w:t>结果</w:t>
            </w:r>
          </w:p>
          <w:p>
            <w:pPr>
              <w:widowControl/>
              <w:ind w:left="-105" w:leftChars="-50" w:right="-126" w:rightChars="-60"/>
              <w:jc w:val="center"/>
              <w:rPr>
                <w:rFonts w:ascii="黑体" w:hAnsi="黑体" w:eastAsia="黑体"/>
                <w:color w:val="auto"/>
              </w:rPr>
            </w:pPr>
            <w:r>
              <w:rPr>
                <w:rFonts w:ascii="黑体" w:hAnsi="黑体" w:eastAsia="黑体"/>
                <w:color w:val="auto"/>
                <w:kern w:val="0"/>
                <w:sz w:val="20"/>
                <w:szCs w:val="20"/>
              </w:rPr>
              <w:t>维持</w:t>
            </w:r>
          </w:p>
        </w:tc>
        <w:tc>
          <w:tcPr>
            <w:tcW w:w="6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color w:val="auto"/>
                <w:kern w:val="0"/>
                <w:sz w:val="20"/>
                <w:szCs w:val="20"/>
              </w:rPr>
            </w:pPr>
            <w:r>
              <w:rPr>
                <w:rFonts w:ascii="黑体" w:hAnsi="黑体" w:eastAsia="黑体"/>
                <w:color w:val="auto"/>
                <w:kern w:val="0"/>
                <w:sz w:val="20"/>
                <w:szCs w:val="20"/>
              </w:rPr>
              <w:t>结果</w:t>
            </w:r>
          </w:p>
          <w:p>
            <w:pPr>
              <w:widowControl/>
              <w:ind w:left="-86" w:leftChars="-41" w:right="-88" w:rightChars="-42"/>
              <w:jc w:val="center"/>
              <w:rPr>
                <w:rFonts w:ascii="黑体" w:hAnsi="黑体" w:eastAsia="黑体"/>
                <w:color w:val="auto"/>
              </w:rPr>
            </w:pPr>
            <w:r>
              <w:rPr>
                <w:rFonts w:ascii="黑体" w:hAnsi="黑体" w:eastAsia="黑体"/>
                <w:color w:val="auto"/>
                <w:kern w:val="0"/>
                <w:sz w:val="20"/>
                <w:szCs w:val="20"/>
              </w:rPr>
              <w:t>纠正</w:t>
            </w:r>
          </w:p>
        </w:tc>
        <w:tc>
          <w:tcPr>
            <w:tcW w:w="66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color w:val="auto"/>
                <w:kern w:val="0"/>
                <w:sz w:val="20"/>
                <w:szCs w:val="20"/>
              </w:rPr>
            </w:pPr>
            <w:r>
              <w:rPr>
                <w:rFonts w:ascii="黑体" w:hAnsi="黑体" w:eastAsia="黑体"/>
                <w:color w:val="auto"/>
                <w:kern w:val="0"/>
                <w:sz w:val="20"/>
                <w:szCs w:val="20"/>
              </w:rPr>
              <w:t>其他</w:t>
            </w:r>
          </w:p>
          <w:p>
            <w:pPr>
              <w:widowControl/>
              <w:ind w:left="-126" w:leftChars="-60" w:right="-136" w:rightChars="-65"/>
              <w:jc w:val="center"/>
              <w:rPr>
                <w:rFonts w:ascii="黑体" w:hAnsi="黑体" w:eastAsia="黑体"/>
                <w:color w:val="auto"/>
              </w:rPr>
            </w:pPr>
            <w:r>
              <w:rPr>
                <w:rFonts w:ascii="黑体" w:hAnsi="黑体" w:eastAsia="黑体"/>
                <w:color w:val="auto"/>
                <w:kern w:val="0"/>
                <w:sz w:val="20"/>
                <w:szCs w:val="20"/>
              </w:rPr>
              <w:t>结果</w:t>
            </w:r>
          </w:p>
        </w:tc>
        <w:tc>
          <w:tcPr>
            <w:tcW w:w="66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color w:val="auto"/>
                <w:kern w:val="0"/>
                <w:sz w:val="20"/>
                <w:szCs w:val="20"/>
              </w:rPr>
            </w:pPr>
            <w:r>
              <w:rPr>
                <w:rFonts w:ascii="黑体" w:hAnsi="黑体" w:eastAsia="黑体"/>
                <w:color w:val="auto"/>
                <w:kern w:val="0"/>
                <w:sz w:val="20"/>
                <w:szCs w:val="20"/>
              </w:rPr>
              <w:t>尚未</w:t>
            </w:r>
          </w:p>
          <w:p>
            <w:pPr>
              <w:widowControl/>
              <w:ind w:left="-164" w:leftChars="-78" w:right="-153" w:rightChars="-73"/>
              <w:jc w:val="center"/>
              <w:rPr>
                <w:rFonts w:ascii="黑体" w:hAnsi="黑体" w:eastAsia="黑体"/>
                <w:color w:val="auto"/>
              </w:rPr>
            </w:pPr>
            <w:r>
              <w:rPr>
                <w:rFonts w:ascii="黑体" w:hAnsi="黑体" w:eastAsia="黑体"/>
                <w:color w:val="auto"/>
                <w:kern w:val="0"/>
                <w:sz w:val="20"/>
                <w:szCs w:val="20"/>
              </w:rPr>
              <w:t>审结</w:t>
            </w:r>
          </w:p>
        </w:tc>
        <w:tc>
          <w:tcPr>
            <w:tcW w:w="67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总计</w:t>
            </w:r>
          </w:p>
        </w:tc>
        <w:tc>
          <w:tcPr>
            <w:tcW w:w="66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color w:val="auto"/>
                <w:kern w:val="0"/>
                <w:sz w:val="20"/>
                <w:szCs w:val="20"/>
              </w:rPr>
            </w:pPr>
            <w:r>
              <w:rPr>
                <w:rFonts w:ascii="黑体" w:hAnsi="黑体" w:eastAsia="黑体"/>
                <w:color w:val="auto"/>
                <w:kern w:val="0"/>
                <w:sz w:val="20"/>
                <w:szCs w:val="20"/>
              </w:rPr>
              <w:t>结果</w:t>
            </w:r>
          </w:p>
          <w:p>
            <w:pPr>
              <w:widowControl/>
              <w:ind w:left="-99" w:leftChars="-47" w:right="-78" w:rightChars="-37"/>
              <w:jc w:val="center"/>
              <w:rPr>
                <w:rFonts w:ascii="黑体" w:hAnsi="黑体" w:eastAsia="黑体"/>
                <w:color w:val="auto"/>
              </w:rPr>
            </w:pPr>
            <w:r>
              <w:rPr>
                <w:rFonts w:ascii="黑体" w:hAnsi="黑体" w:eastAsia="黑体"/>
                <w:color w:val="auto"/>
                <w:kern w:val="0"/>
                <w:sz w:val="20"/>
                <w:szCs w:val="20"/>
              </w:rPr>
              <w:t>维持</w:t>
            </w:r>
          </w:p>
        </w:tc>
        <w:tc>
          <w:tcPr>
            <w:tcW w:w="66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color w:val="auto"/>
                <w:kern w:val="0"/>
                <w:sz w:val="20"/>
                <w:szCs w:val="20"/>
              </w:rPr>
            </w:pPr>
            <w:r>
              <w:rPr>
                <w:rFonts w:ascii="黑体" w:hAnsi="黑体" w:eastAsia="黑体"/>
                <w:color w:val="auto"/>
                <w:kern w:val="0"/>
                <w:sz w:val="20"/>
                <w:szCs w:val="20"/>
              </w:rPr>
              <w:t>结果</w:t>
            </w:r>
          </w:p>
          <w:p>
            <w:pPr>
              <w:widowControl/>
              <w:ind w:left="-136" w:leftChars="-65" w:right="-124" w:rightChars="-59"/>
              <w:jc w:val="center"/>
              <w:rPr>
                <w:rFonts w:ascii="黑体" w:hAnsi="黑体" w:eastAsia="黑体"/>
                <w:color w:val="auto"/>
              </w:rPr>
            </w:pPr>
            <w:r>
              <w:rPr>
                <w:rFonts w:ascii="黑体" w:hAnsi="黑体" w:eastAsia="黑体"/>
                <w:color w:val="auto"/>
                <w:kern w:val="0"/>
                <w:sz w:val="20"/>
                <w:szCs w:val="20"/>
              </w:rPr>
              <w:t>纠正</w:t>
            </w:r>
          </w:p>
        </w:tc>
        <w:tc>
          <w:tcPr>
            <w:tcW w:w="66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color w:val="auto"/>
                <w:kern w:val="0"/>
                <w:sz w:val="20"/>
                <w:szCs w:val="20"/>
              </w:rPr>
            </w:pPr>
            <w:r>
              <w:rPr>
                <w:rFonts w:ascii="黑体" w:hAnsi="黑体" w:eastAsia="黑体"/>
                <w:color w:val="auto"/>
                <w:kern w:val="0"/>
                <w:sz w:val="20"/>
                <w:szCs w:val="20"/>
              </w:rPr>
              <w:t>其他</w:t>
            </w:r>
          </w:p>
          <w:p>
            <w:pPr>
              <w:widowControl/>
              <w:ind w:left="-173" w:leftChars="-83" w:right="-134" w:rightChars="-64" w:hanging="1"/>
              <w:jc w:val="center"/>
              <w:rPr>
                <w:rFonts w:ascii="黑体" w:hAnsi="黑体" w:eastAsia="黑体"/>
                <w:color w:val="auto"/>
              </w:rPr>
            </w:pPr>
            <w:r>
              <w:rPr>
                <w:rFonts w:ascii="黑体" w:hAnsi="黑体" w:eastAsia="黑体"/>
                <w:color w:val="auto"/>
                <w:kern w:val="0"/>
                <w:sz w:val="20"/>
                <w:szCs w:val="20"/>
              </w:rPr>
              <w:t>结果</w:t>
            </w:r>
          </w:p>
        </w:tc>
        <w:tc>
          <w:tcPr>
            <w:tcW w:w="66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color w:val="auto"/>
                <w:kern w:val="0"/>
                <w:sz w:val="20"/>
                <w:szCs w:val="20"/>
              </w:rPr>
            </w:pPr>
            <w:r>
              <w:rPr>
                <w:rFonts w:ascii="黑体" w:hAnsi="黑体" w:eastAsia="黑体"/>
                <w:color w:val="auto"/>
                <w:kern w:val="0"/>
                <w:sz w:val="20"/>
                <w:szCs w:val="20"/>
              </w:rPr>
              <w:t>尚未</w:t>
            </w:r>
          </w:p>
          <w:p>
            <w:pPr>
              <w:widowControl/>
              <w:ind w:left="-67" w:leftChars="-33" w:right="-105" w:rightChars="-50" w:hanging="2" w:hangingChars="1"/>
              <w:jc w:val="center"/>
              <w:rPr>
                <w:rFonts w:ascii="黑体" w:hAnsi="黑体" w:eastAsia="黑体"/>
                <w:color w:val="auto"/>
              </w:rPr>
            </w:pPr>
            <w:r>
              <w:rPr>
                <w:rFonts w:ascii="黑体" w:hAnsi="黑体" w:eastAsia="黑体"/>
                <w:color w:val="auto"/>
                <w:kern w:val="0"/>
                <w:sz w:val="20"/>
                <w:szCs w:val="20"/>
              </w:rPr>
              <w:t>审结</w:t>
            </w:r>
          </w:p>
        </w:tc>
        <w:tc>
          <w:tcPr>
            <w:tcW w:w="67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4" w:hRule="atLeast"/>
          <w:jc w:val="center"/>
        </w:trPr>
        <w:tc>
          <w:tcPr>
            <w:tcW w:w="66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73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7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r>
    </w:tbl>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leftChars="0" w:right="0" w:righ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五、政府信息公开工作存在的主要问题及改进情况</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Chars="0" w:firstLine="643" w:firstLineChars="200"/>
        <w:jc w:val="both"/>
        <w:textAlignment w:val="auto"/>
        <w:rPr>
          <w:rFonts w:hint="eastAsia" w:ascii="楷体_GB2312" w:hAnsi="楷体_GB2312" w:eastAsia="楷体_GB2312" w:cs="楷体_GB2312"/>
          <w:b/>
          <w:bCs/>
          <w:color w:val="0000FF"/>
          <w:sz w:val="32"/>
          <w:szCs w:val="32"/>
          <w:lang w:eastAsia="zh-CN"/>
        </w:rPr>
      </w:pPr>
      <w:r>
        <w:rPr>
          <w:rFonts w:hint="eastAsia" w:ascii="楷体_GB2312" w:hAnsi="楷体_GB2312" w:eastAsia="楷体_GB2312" w:cs="楷体_GB2312"/>
          <w:b/>
          <w:bCs/>
          <w:color w:val="auto"/>
          <w:sz w:val="32"/>
          <w:szCs w:val="32"/>
        </w:rPr>
        <w:t>（一）存在的主要问题</w:t>
      </w:r>
      <w:r>
        <w:rPr>
          <w:rFonts w:hint="eastAsia" w:ascii="楷体_GB2312" w:hAnsi="楷体_GB2312" w:eastAsia="楷体_GB2312" w:cs="楷体_GB2312"/>
          <w:b/>
          <w:bCs/>
          <w:color w:val="auto"/>
          <w:sz w:val="32"/>
          <w:szCs w:val="32"/>
          <w:lang w:eastAsia="zh-CN"/>
        </w:rPr>
        <w:t>及改进措施</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Chars="0" w:firstLine="640" w:firstLineChars="200"/>
        <w:jc w:val="both"/>
        <w:textAlignment w:val="auto"/>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color w:val="auto"/>
          <w:sz w:val="32"/>
          <w:szCs w:val="32"/>
          <w:lang w:val="en-US" w:eastAsia="zh-CN"/>
        </w:rPr>
        <w:t>我街道政府信息公开工作虽取得了新的进展，但也还存在一些问题：如，信息更新还不够及时高效；公开内容不具体，重点不突出等。结合以上不足，我们将采取以下措施完善信息公开工作：</w:t>
      </w:r>
      <w:r>
        <w:rPr>
          <w:rFonts w:hint="eastAsia" w:ascii="Times New Roman" w:hAnsi="Times New Roman" w:eastAsia="仿宋_GB2312" w:cs="Times New Roman"/>
          <w:b/>
          <w:bCs/>
          <w:color w:val="auto"/>
          <w:sz w:val="32"/>
          <w:szCs w:val="32"/>
          <w:lang w:val="en-US" w:eastAsia="zh-CN"/>
        </w:rPr>
        <w:t>一是提高站位，深化认识。</w:t>
      </w:r>
      <w:r>
        <w:rPr>
          <w:rFonts w:hint="eastAsia" w:ascii="Times New Roman" w:hAnsi="Times New Roman" w:eastAsia="仿宋_GB2312" w:cs="Times New Roman"/>
          <w:color w:val="auto"/>
          <w:sz w:val="32"/>
          <w:szCs w:val="32"/>
          <w:lang w:val="en-US" w:eastAsia="zh-CN"/>
        </w:rPr>
        <w:t>将政府信息公开工作作为一项长期化、日常化和制度化的工作，严格按照区政务公开工作要求，进一步统一思想，深化认识，确保组织到位、措施到位、责任到位</w:t>
      </w:r>
      <w:r>
        <w:rPr>
          <w:rFonts w:hint="eastAsia" w:ascii="Times New Roman" w:hAnsi="Times New Roman" w:eastAsia="仿宋_GB2312" w:cs="Times New Roman"/>
          <w:b/>
          <w:bCs/>
          <w:color w:val="auto"/>
          <w:sz w:val="32"/>
          <w:szCs w:val="32"/>
          <w:lang w:val="en-US" w:eastAsia="zh-CN"/>
        </w:rPr>
        <w:t>。二是加强宣传，营造氛围。</w:t>
      </w:r>
      <w:r>
        <w:rPr>
          <w:rFonts w:hint="eastAsia" w:ascii="Times New Roman" w:hAnsi="Times New Roman" w:eastAsia="仿宋_GB2312" w:cs="Times New Roman"/>
          <w:color w:val="auto"/>
          <w:sz w:val="32"/>
          <w:szCs w:val="32"/>
          <w:lang w:val="en-US" w:eastAsia="zh-CN"/>
        </w:rPr>
        <w:t>在保证网络公开为主的前提下，进一步加大报刊、广播、电视等传统媒体的推介力度，提高公众对政务信息公开的知晓率和参与度，扩大信息覆盖面</w:t>
      </w:r>
      <w:r>
        <w:rPr>
          <w:rFonts w:hint="eastAsia" w:ascii="Times New Roman" w:hAnsi="Times New Roman" w:eastAsia="仿宋_GB2312" w:cs="Times New Roman"/>
          <w:b/>
          <w:bCs/>
          <w:color w:val="auto"/>
          <w:sz w:val="32"/>
          <w:szCs w:val="32"/>
          <w:lang w:val="en-US" w:eastAsia="zh-CN"/>
        </w:rPr>
        <w:t>。三是加大培训，提升质量。</w:t>
      </w:r>
      <w:r>
        <w:rPr>
          <w:rFonts w:hint="eastAsia" w:ascii="Times New Roman" w:hAnsi="Times New Roman" w:eastAsia="仿宋_GB2312" w:cs="Times New Roman"/>
          <w:color w:val="auto"/>
          <w:sz w:val="32"/>
          <w:szCs w:val="32"/>
          <w:lang w:val="en-US" w:eastAsia="zh-CN"/>
        </w:rPr>
        <w:t>加大教育培训力度，使干部职工在思想上充分重视信息公开，提高信息报送的积极性和主动性，提升信息质量。</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right="0" w:righ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六、其他需要报告的事项</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60" w:lineRule="exact"/>
        <w:ind w:right="0" w:rightChars="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（一）本年度政府信息公开申请未达到《政府信息公开信息处理费管理办法》（国办函〔2020〕109号）所规定的信息处理费收费标准，故未收取信息处理费。</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60" w:lineRule="exact"/>
        <w:ind w:right="0" w:rightChars="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落实上级政务公开重点工作情况。根据《2023年枣庄市政务公开工作要点》要求，推进政务公开工作常态化开展，确保责任公开事项落实到位，畅通群众获取政府信息的渠道，持续推进基层政务公开标准化规范化，全面梳理细化相关领域政务公开事项，明确具体事项的公开标准，制作主动公开基本目录清单等工作，促进张范街道政务公开工作提质增效。</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60" w:lineRule="exact"/>
        <w:ind w:right="0" w:rightChars="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（三）2023年全年未接到市人大常委会交办的人大代表建议办理工作，</w:t>
      </w:r>
      <w:r>
        <w:rPr>
          <w:rFonts w:ascii="仿宋_GB2312" w:hAnsi="仿宋_GB2312" w:eastAsia="仿宋_GB2312" w:cs="仿宋_GB2312"/>
          <w:b w:val="0"/>
          <w:bCs w:val="0"/>
          <w:color w:val="000000"/>
          <w:sz w:val="31"/>
          <w:szCs w:val="31"/>
        </w:rPr>
        <w:t xml:space="preserve">全年承办区级人大代表建议 </w:t>
      </w:r>
      <w:r>
        <w:rPr>
          <w:rFonts w:ascii="TimesNewRomanPSMT" w:hAnsi="TimesNewRomanPSMT" w:eastAsia="TimesNewRomanPSMT" w:cs="TimesNewRomanPSMT"/>
          <w:b w:val="0"/>
          <w:bCs w:val="0"/>
          <w:color w:val="000000"/>
          <w:sz w:val="31"/>
          <w:szCs w:val="31"/>
        </w:rPr>
        <w:t xml:space="preserve">2 </w:t>
      </w:r>
      <w:r>
        <w:rPr>
          <w:rFonts w:ascii="仿宋_GB2312" w:hAnsi="仿宋_GB2312" w:eastAsia="仿宋_GB2312" w:cs="仿宋_GB2312"/>
          <w:b w:val="0"/>
          <w:bCs w:val="0"/>
          <w:color w:val="000000"/>
          <w:sz w:val="31"/>
          <w:szCs w:val="31"/>
        </w:rPr>
        <w:t>个，全年未承办区政协委员提案</w:t>
      </w:r>
      <w:r>
        <w:rPr>
          <w:rFonts w:hint="eastAsia" w:ascii="Times New Roman" w:hAnsi="Times New Roman" w:eastAsia="仿宋_GB2312" w:cs="Times New Roman"/>
          <w:color w:val="auto"/>
          <w:sz w:val="32"/>
          <w:szCs w:val="32"/>
          <w:lang w:val="en-US" w:eastAsia="zh-CN"/>
        </w:rPr>
        <w: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60" w:lineRule="exact"/>
        <w:ind w:right="0" w:rightChars="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四）本行政机关年度政务公开工作创新情况。一是加大人才队伍建设。定期通过线上、线下等形式开展政务公开相关内容培训，凝聚工作合力。二是增强政务公开信息准确性。完善政务信息公开流程，保障政务信息制作、审核、发布的一致性及连贯性，提升政务公开信息质量。</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60" w:lineRule="exact"/>
        <w:ind w:right="0" w:rightChars="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（五）本行政机关政府信息公开工作年度报告数据统计需要说明的事项。本报告中所列数据的统计时限为2023年1月1日至2023年12月31日。</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60" w:lineRule="exact"/>
        <w:ind w:right="0" w:rightChars="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（六）本行政机关认</w:t>
      </w:r>
      <w:bookmarkStart w:id="10" w:name="_GoBack"/>
      <w:r>
        <w:rPr>
          <w:rFonts w:hint="eastAsia" w:ascii="Times New Roman" w:hAnsi="Times New Roman" w:eastAsia="仿宋_GB2312" w:cs="Times New Roman"/>
          <w:color w:val="auto"/>
          <w:sz w:val="32"/>
          <w:szCs w:val="32"/>
          <w:lang w:val="en-US" w:eastAsia="zh-CN"/>
        </w:rPr>
        <w:t>为需要报告的其他事项：无。</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60" w:lineRule="exact"/>
        <w:ind w:right="0" w:rightChars="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（七）其他有关文件专门要求通过政府信息公开工作年度报告予以报告的事项：无。</w:t>
      </w:r>
    </w:p>
    <w:bookmarkEnd w:id="10"/>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60" w:lineRule="exact"/>
        <w:ind w:right="0" w:rightChars="0" w:firstLine="640" w:firstLineChars="200"/>
        <w:jc w:val="both"/>
        <w:textAlignment w:val="auto"/>
        <w:rPr>
          <w:rFonts w:hint="eastAsia" w:ascii="Times New Roman" w:hAnsi="Times New Roman" w:eastAsia="仿宋_GB2312" w:cs="Times New Roman"/>
          <w:color w:val="auto"/>
          <w:sz w:val="32"/>
          <w:szCs w:val="32"/>
          <w:lang w:val="en-US" w:eastAsia="zh-CN"/>
        </w:rPr>
      </w:pP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60" w:lineRule="exact"/>
        <w:ind w:right="0" w:rightChars="0" w:firstLine="640" w:firstLineChars="200"/>
        <w:jc w:val="both"/>
        <w:textAlignment w:val="auto"/>
        <w:rPr>
          <w:rFonts w:hint="eastAsia" w:ascii="Times New Roman" w:hAnsi="Times New Roman" w:eastAsia="仿宋_GB2312" w:cs="Times New Roman"/>
          <w:color w:val="auto"/>
          <w:sz w:val="32"/>
          <w:szCs w:val="32"/>
          <w:lang w:val="en-US" w:eastAsia="zh-CN"/>
        </w:rPr>
      </w:pP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60" w:lineRule="exact"/>
        <w:ind w:right="0" w:rightChars="0" w:firstLine="640" w:firstLineChars="200"/>
        <w:jc w:val="both"/>
        <w:textAlignment w:val="auto"/>
        <w:rPr>
          <w:rFonts w:hint="eastAsia" w:ascii="Times New Roman" w:hAnsi="Times New Roman" w:eastAsia="仿宋_GB2312" w:cs="Times New Roman"/>
          <w:color w:val="auto"/>
          <w:sz w:val="32"/>
          <w:szCs w:val="32"/>
          <w:lang w:val="en-US" w:eastAsia="zh-CN"/>
        </w:rPr>
      </w:pP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60" w:lineRule="exact"/>
        <w:ind w:right="0" w:rightChars="0" w:firstLine="640" w:firstLineChars="200"/>
        <w:jc w:val="both"/>
        <w:textAlignment w:val="auto"/>
        <w:rPr>
          <w:rFonts w:hint="eastAsia" w:ascii="Times New Roman" w:hAnsi="Times New Roman" w:eastAsia="仿宋_GB2312" w:cs="Times New Roman"/>
          <w:color w:val="auto"/>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A3586A"/>
    <w:multiLevelType w:val="singleLevel"/>
    <w:tmpl w:val="E9A3586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5MTU0ZmRmMGQ5MWRhZDRkMGIxNzI3NWMwZmQyN2IifQ=="/>
  </w:docVars>
  <w:rsids>
    <w:rsidRoot w:val="00000000"/>
    <w:rsid w:val="0B337234"/>
    <w:rsid w:val="0D7C2964"/>
    <w:rsid w:val="122956F8"/>
    <w:rsid w:val="1B970338"/>
    <w:rsid w:val="1DB33184"/>
    <w:rsid w:val="32E65EFE"/>
    <w:rsid w:val="3CEB5CA8"/>
    <w:rsid w:val="5F9C1F87"/>
    <w:rsid w:val="74011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hart" Target="charts/chart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主动公开政府信息</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multiLvlStrRef>
              <c:f>[工作簿1]Sheet1!$E$3:$F$4</c:f>
              <c:multiLvlStrCache>
                <c:ptCount val="2"/>
                <c:lvl>
                  <c:pt idx="0">
                    <c:v>政府门户网站</c:v>
                  </c:pt>
                  <c:pt idx="1">
                    <c:v>微信公众号</c:v>
                  </c:pt>
                </c:lvl>
                <c:lvl/>
              </c:multiLvlStrCache>
            </c:multiLvlStrRef>
          </c:cat>
          <c:val>
            <c:numRef>
              <c:f>[工作簿1]Sheet1!$E$5:$F$5</c:f>
              <c:numCache>
                <c:formatCode>General</c:formatCode>
                <c:ptCount val="2"/>
                <c:pt idx="0">
                  <c:v>150</c:v>
                </c:pt>
                <c:pt idx="1">
                  <c:v>280</c:v>
                </c:pt>
              </c:numCache>
            </c:numRef>
          </c:val>
        </c:ser>
        <c:dLbls>
          <c:showLegendKey val="0"/>
          <c:showVal val="0"/>
          <c:showCatName val="0"/>
          <c:showSerName val="0"/>
          <c:showPercent val="0"/>
          <c:showBubbleSize val="0"/>
        </c:dLbls>
        <c:gapWidth val="246"/>
        <c:overlap val="-28"/>
        <c:axId val="255708054"/>
        <c:axId val="102310576"/>
      </c:barChart>
      <c:catAx>
        <c:axId val="25570805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310576"/>
        <c:crosses val="autoZero"/>
        <c:auto val="1"/>
        <c:lblAlgn val="ctr"/>
        <c:lblOffset val="100"/>
        <c:noMultiLvlLbl val="0"/>
      </c:catAx>
      <c:valAx>
        <c:axId val="102310576"/>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570805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3029</Words>
  <Characters>3153</Characters>
  <Lines>0</Lines>
  <Paragraphs>0</Paragraphs>
  <TotalTime>58</TotalTime>
  <ScaleCrop>false</ScaleCrop>
  <LinksUpToDate>false</LinksUpToDate>
  <CharactersWithSpaces>3159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p:lastModifiedBy>
  <dcterms:modified xsi:type="dcterms:W3CDTF">2024-01-26T08:16:26Z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D5E02D9693E244AC830FE38686DAD07C_13</vt:lpwstr>
  </property>
</Properties>
</file>