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枣庄高新区兴城街道2023年政府信息公开工作年度报告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根据《中华人民共和国政府信息公开条例》要求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结合我街道实际，编制并向社会公开枣庄高新区兴城街道202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年政府信息公开工作年度报告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年报由总体情况、行政机关主动公开政府信息情况、行政机关收到和处理政府信息公开申请情况、因政府信息公开工作被申请行政复议、提起行政诉讼情况、政府信息公开工作存在的主要问题及改进情况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其他需要报告的事项六个部分组成。所列数据的统计期限为</w:t>
      </w: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报告电子版可在枣庄高新技术产业开发区官网（http://www.zzctp.gov.cn/）</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政府信息公开年度报告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栏目下载。如对本报告有疑问，请与</w:t>
      </w:r>
      <w:r>
        <w:rPr>
          <w:rFonts w:hint="eastAsia" w:ascii="Times New Roman" w:hAnsi="Times New Roman" w:eastAsia="仿宋_GB2312" w:cs="Times New Roman"/>
          <w:color w:val="auto"/>
          <w:sz w:val="32"/>
          <w:szCs w:val="32"/>
          <w:lang w:eastAsia="zh-CN"/>
        </w:rPr>
        <w:t>兴城街道党政办公室</w:t>
      </w:r>
      <w:r>
        <w:rPr>
          <w:rFonts w:hint="default" w:ascii="Times New Roman" w:hAnsi="Times New Roman" w:eastAsia="仿宋_GB2312" w:cs="Times New Roman"/>
          <w:color w:val="auto"/>
          <w:sz w:val="32"/>
          <w:szCs w:val="32"/>
        </w:rPr>
        <w:t>联系（联系电话:0632-</w:t>
      </w:r>
      <w:r>
        <w:rPr>
          <w:rFonts w:hint="eastAsia" w:ascii="Times New Roman" w:hAnsi="Times New Roman" w:eastAsia="仿宋_GB2312" w:cs="Times New Roman"/>
          <w:color w:val="auto"/>
          <w:sz w:val="32"/>
          <w:szCs w:val="32"/>
          <w:lang w:val="en-US" w:eastAsia="zh-CN"/>
        </w:rPr>
        <w:t>8671008</w:t>
      </w:r>
      <w:r>
        <w:rPr>
          <w:rFonts w:hint="default" w:ascii="Times New Roman" w:hAnsi="Times New Roman" w:eastAsia="仿宋_GB2312" w:cs="Times New Roman"/>
          <w:color w:val="auto"/>
          <w:sz w:val="32"/>
          <w:szCs w:val="32"/>
        </w:rPr>
        <w:t>，电子邮箱:</w:t>
      </w:r>
      <w:r>
        <w:rPr>
          <w:rFonts w:hint="eastAsia" w:ascii="Times New Roman" w:hAnsi="Times New Roman" w:eastAsia="仿宋_GB2312" w:cs="Times New Roman"/>
          <w:color w:val="auto"/>
          <w:sz w:val="32"/>
          <w:szCs w:val="32"/>
          <w:lang w:val="en-US" w:eastAsia="zh-CN"/>
        </w:rPr>
        <w:t>xingchengjieban@163.com</w:t>
      </w:r>
      <w:r>
        <w:rPr>
          <w:rFonts w:hint="default" w:ascii="Times New Roman" w:hAnsi="Times New Roman" w:eastAsia="仿宋_GB2312" w:cs="Times New Roman"/>
          <w:color w:val="auto"/>
          <w:sz w:val="32"/>
          <w:szCs w:val="32"/>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2023年，枣庄高新区兴城街道坚持以习近平新时代中国特色社会主义思想为指导，全面贯彻落实党的二十大精神，不断健全完善政务公开工作制度，</w:t>
      </w:r>
      <w:r>
        <w:rPr>
          <w:rFonts w:hint="default" w:ascii="Times New Roman" w:hAnsi="Times New Roman" w:eastAsia="仿宋_GB2312" w:cs="Times New Roman"/>
          <w:color w:val="auto"/>
          <w:sz w:val="32"/>
          <w:szCs w:val="32"/>
        </w:rPr>
        <w:t>不断扩大公开范围、细化公开内容</w:t>
      </w:r>
      <w:r>
        <w:rPr>
          <w:rFonts w:hint="eastAsia" w:ascii="Times New Roman" w:hAnsi="Times New Roman" w:eastAsia="仿宋_GB2312" w:cs="Times New Roman"/>
          <w:color w:val="auto"/>
          <w:sz w:val="32"/>
          <w:szCs w:val="32"/>
          <w:lang w:eastAsia="zh-CN"/>
        </w:rPr>
        <w:t>、</w:t>
      </w:r>
      <w:r>
        <w:rPr>
          <w:rFonts w:ascii="仿宋_GB2312" w:hAnsi="宋体" w:eastAsia="仿宋_GB2312" w:cs="仿宋_GB2312"/>
          <w:i w:val="0"/>
          <w:iCs w:val="0"/>
          <w:caps w:val="0"/>
          <w:color w:val="000000"/>
          <w:spacing w:val="0"/>
          <w:sz w:val="31"/>
          <w:szCs w:val="31"/>
          <w:shd w:val="clear" w:fill="FFFFFF"/>
        </w:rPr>
        <w:t>提高公开精度</w:t>
      </w:r>
      <w:r>
        <w:rPr>
          <w:rFonts w:hint="eastAsia" w:ascii="Times New Roman" w:hAnsi="Times New Roman" w:eastAsia="仿宋_GB2312" w:cs="Times New Roman"/>
          <w:color w:val="auto"/>
          <w:sz w:val="32"/>
          <w:szCs w:val="32"/>
          <w:lang w:val="en-US" w:eastAsia="zh-CN"/>
        </w:rPr>
        <w:t>，助力街道各项工作高质量发展。现将我街道2023年度政府信息公开工作情况报告如下：</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（一）主动公开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2023年兴城街道主动公开政府信息234条，通过政府门户网站公开政府信息124条，通过兴城街道微信公众号发布信息110期。</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加大主动公开力度按时合规及时发布各类政务信息至高新区政府网站。2023年街道通过政府门户网站公开主任办公会议12次，发布会议解读12次，</w:t>
      </w:r>
      <w:r>
        <w:rPr>
          <w:rFonts w:hint="default" w:ascii="Times New Roman" w:hAnsi="Times New Roman" w:eastAsia="仿宋_GB2312" w:cs="Times New Roman"/>
          <w:color w:val="auto"/>
          <w:sz w:val="32"/>
          <w:szCs w:val="32"/>
        </w:rPr>
        <w:t>发布通知公告</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条，发布街道信息</w:t>
      </w:r>
      <w:r>
        <w:rPr>
          <w:rFonts w:hint="eastAsia" w:ascii="Times New Roman" w:hAnsi="Times New Roman" w:eastAsia="仿宋_GB2312" w:cs="Times New Roman"/>
          <w:color w:val="auto"/>
          <w:sz w:val="32"/>
          <w:szCs w:val="32"/>
          <w:lang w:val="en-US" w:eastAsia="zh-CN"/>
        </w:rPr>
        <w:t>69</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eastAsia="zh-CN"/>
        </w:rPr>
        <w:t>二是</w:t>
      </w:r>
      <w:r>
        <w:rPr>
          <w:rFonts w:hint="eastAsia" w:ascii="Times New Roman" w:hAnsi="Times New Roman" w:eastAsia="仿宋_GB2312" w:cs="Times New Roman"/>
          <w:color w:val="auto"/>
          <w:sz w:val="32"/>
          <w:szCs w:val="32"/>
          <w:lang w:eastAsia="zh-CN"/>
        </w:rPr>
        <w:t>利用政务新媒体发布街道动态，</w:t>
      </w:r>
      <w:r>
        <w:rPr>
          <w:rFonts w:hint="eastAsia" w:ascii="Times New Roman" w:hAnsi="Times New Roman" w:eastAsia="仿宋_GB2312" w:cs="Times New Roman"/>
          <w:color w:val="auto"/>
          <w:sz w:val="32"/>
          <w:szCs w:val="32"/>
          <w:lang w:val="en-US" w:eastAsia="zh-CN"/>
        </w:rPr>
        <w:t>将政务新媒体作为政务公开的有力助手，进一步提高公众获知政府信息的便利度。</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加强政民互动，今年以来通过政府网站收到互动交流信件5件，按时回复5件，及时解决群众热点难点问题，做到政府网站互动日常化、常态化、良性化。</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jc w:val="both"/>
        <w:textAlignment w:val="auto"/>
        <w:rPr>
          <w:rFonts w:hint="eastAsia"/>
          <w:lang w:val="en-US" w:eastAsia="zh-CN"/>
        </w:rPr>
      </w:pPr>
      <w:r>
        <w:drawing>
          <wp:anchor distT="0" distB="0" distL="114300" distR="114300" simplePos="0" relativeHeight="251660288" behindDoc="0" locked="0" layoutInCell="1" allowOverlap="1">
            <wp:simplePos x="0" y="0"/>
            <wp:positionH relativeFrom="column">
              <wp:posOffset>180975</wp:posOffset>
            </wp:positionH>
            <wp:positionV relativeFrom="paragraph">
              <wp:posOffset>2730500</wp:posOffset>
            </wp:positionV>
            <wp:extent cx="4848225" cy="2800350"/>
            <wp:effectExtent l="0" t="0" r="952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848225" cy="280035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266700</wp:posOffset>
            </wp:positionH>
            <wp:positionV relativeFrom="paragraph">
              <wp:posOffset>121920</wp:posOffset>
            </wp:positionV>
            <wp:extent cx="4638675" cy="262890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38675" cy="2628900"/>
                    </a:xfrm>
                    <a:prstGeom prst="rect">
                      <a:avLst/>
                    </a:prstGeom>
                    <a:noFill/>
                    <a:ln>
                      <a:noFill/>
                    </a:ln>
                  </pic:spPr>
                </pic:pic>
              </a:graphicData>
            </a:graphic>
          </wp:anchor>
        </w:drawing>
      </w:r>
      <w:r>
        <w:rPr>
          <w:rFonts w:hint="eastAsia"/>
          <w:lang w:val="en-US" w:eastAsia="zh-CN"/>
        </w:rPr>
        <w:t xml:space="preserv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jc w:val="both"/>
        <w:textAlignment w:val="auto"/>
        <w:rPr>
          <w:rFonts w:hint="eastAsia" w:ascii="楷体_GB2312" w:hAnsi="楷体_GB2312" w:eastAsia="楷体_GB2312" w:cs="楷体_GB2312"/>
          <w:b/>
          <w:bCs/>
          <w:color w:val="auto"/>
          <w:sz w:val="32"/>
          <w:szCs w:val="32"/>
          <w:lang w:val="en-US" w:eastAsia="zh-CN"/>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3313430</wp:posOffset>
            </wp:positionV>
            <wp:extent cx="5272405" cy="2752090"/>
            <wp:effectExtent l="0" t="0" r="4445" b="1016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275209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9525</wp:posOffset>
            </wp:positionH>
            <wp:positionV relativeFrom="paragraph">
              <wp:posOffset>38100</wp:posOffset>
            </wp:positionV>
            <wp:extent cx="5273675" cy="3232150"/>
            <wp:effectExtent l="0" t="0" r="3175" b="635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3675" cy="3232150"/>
                    </a:xfrm>
                    <a:prstGeom prst="rect">
                      <a:avLst/>
                    </a:prstGeom>
                    <a:noFill/>
                    <a:ln>
                      <a:noFill/>
                    </a:ln>
                  </pic:spPr>
                </pic:pic>
              </a:graphicData>
            </a:graphic>
          </wp:anchor>
        </w:drawing>
      </w:r>
      <w:r>
        <w:rPr>
          <w:rFonts w:hint="eastAsia"/>
          <w:lang w:val="en-US" w:eastAsia="zh-CN"/>
        </w:rPr>
        <w:t xml:space="preserve">     </w:t>
      </w:r>
      <w:r>
        <w:rPr>
          <w:rFonts w:hint="eastAsia" w:ascii="楷体_GB2312" w:hAnsi="楷体_GB2312" w:eastAsia="楷体_GB2312" w:cs="楷体_GB2312"/>
          <w:b/>
          <w:bCs/>
          <w:color w:val="auto"/>
          <w:sz w:val="32"/>
          <w:szCs w:val="32"/>
          <w:lang w:val="en-US" w:eastAsia="zh-CN"/>
        </w:rPr>
        <w:t>（二）依申请公开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街道严格按照各级工作要求，依法妥善做好依申请公开工作，确保政府信息公开申请渠道畅通。兴城街道共收到依申请公开件2件（其中官网收到0件，信件2件），按时回复2件。兴城街道公开行政复议0件，政府信息公开行政诉讼总数0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（三）政府信息管理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法定时限发布并实时更新法定主动公开内容。明确责任，街道党政综合办公室为信息公开工作主管部门，并配备专职工作人员1名，负责推进、协调街道办事处政府信息公开工作，不断增强工作透明度，切实保障群众的知情权、参与权和监督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（四）政府信息公开平台建设</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按照上级部署开设政务公开线下服务专区。依托街道便民服务中心设立“政务公开体验区”和“自助服务区”，配备自助查阅电脑、打印机等设备方便办事群众查阅政府信息；</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利用政务新媒体“创新创业 兴业兴城”公众号，及时、准确地发布街道的工作动态；</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依托高新区政府门户网站，把涉及群众切身利益的信息在网站公开，</w:t>
      </w:r>
      <w:r>
        <w:rPr>
          <w:rFonts w:ascii="仿宋_GB2312" w:hAnsi="宋体" w:eastAsia="仿宋_GB2312" w:cs="仿宋_GB2312"/>
          <w:i w:val="0"/>
          <w:iCs w:val="0"/>
          <w:caps w:val="0"/>
          <w:color w:val="000000"/>
          <w:spacing w:val="0"/>
          <w:sz w:val="31"/>
          <w:szCs w:val="31"/>
        </w:rPr>
        <w:t>方便群众浏览、知晓</w:t>
      </w:r>
      <w:r>
        <w:rPr>
          <w:rFonts w:hint="eastAsia" w:ascii="仿宋_GB2312" w:hAnsi="宋体" w:eastAsia="仿宋_GB2312" w:cs="仿宋_GB2312"/>
          <w:i w:val="0"/>
          <w:iCs w:val="0"/>
          <w:caps w:val="0"/>
          <w:color w:val="000000"/>
          <w:spacing w:val="0"/>
          <w:sz w:val="31"/>
          <w:szCs w:val="31"/>
          <w:lang w:eastAsia="zh-CN"/>
        </w:rPr>
        <w:t>，</w:t>
      </w:r>
      <w:r>
        <w:rPr>
          <w:rFonts w:hint="eastAsia" w:ascii="Times New Roman" w:hAnsi="Times New Roman" w:eastAsia="仿宋_GB2312" w:cs="Times New Roman"/>
          <w:color w:val="auto"/>
          <w:sz w:val="32"/>
          <w:szCs w:val="32"/>
          <w:lang w:val="en-US" w:eastAsia="zh-CN"/>
        </w:rPr>
        <w:t>确保政府信息公开工作有效开展。</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（五）监督保障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加强日常监督机制，每月定期排查主动公开、政策解读、互动交流、网站和政务新媒体运行等工作情况。</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积极参加各级业务培训，积极参加全区及街道政务信息公开相关培训，提高工作人员业务能力和工作素养，推动街道政务公开规范化水平提升。</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rPr>
        <w:t>二、行政机关主动公开政府信息情况</w:t>
      </w:r>
    </w:p>
    <w:tbl>
      <w:tblPr>
        <w:tblStyle w:val="5"/>
        <w:tblW w:w="8824" w:type="dxa"/>
        <w:tblInd w:w="0" w:type="dxa"/>
        <w:shd w:val="clear" w:color="auto" w:fill="auto"/>
        <w:tblLayout w:type="fixed"/>
        <w:tblCellMar>
          <w:top w:w="0" w:type="dxa"/>
          <w:left w:w="108" w:type="dxa"/>
          <w:bottom w:w="0" w:type="dxa"/>
          <w:right w:w="108" w:type="dxa"/>
        </w:tblCellMar>
      </w:tblPr>
      <w:tblGrid>
        <w:gridCol w:w="2206"/>
        <w:gridCol w:w="2206"/>
        <w:gridCol w:w="2206"/>
        <w:gridCol w:w="2206"/>
      </w:tblGrid>
      <w:tr>
        <w:tblPrEx>
          <w:shd w:val="clear" w:color="auto" w:fill="auto"/>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95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bl>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行政机关收到和处理政府信息公开申请情况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color w:val="auto"/>
                <w:szCs w:val="21"/>
              </w:rPr>
            </w:pPr>
            <w:r>
              <w:rPr>
                <w:rFonts w:hint="eastAsia" w:ascii="黑体" w:hAnsi="黑体" w:eastAsia="黑体"/>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c>
          <w:tcPr>
            <w:tcW w:w="829" w:type="dxa"/>
            <w:vMerge w:val="continue"/>
            <w:shd w:val="clear" w:color="auto" w:fill="auto"/>
            <w:tcMar>
              <w:left w:w="108" w:type="dxa"/>
              <w:right w:w="108" w:type="dxa"/>
            </w:tcMar>
            <w:vAlign w:val="center"/>
          </w:tcPr>
          <w:p>
            <w:pPr>
              <w:jc w:val="center"/>
              <w:rPr>
                <w:rFonts w:ascii="黑体" w:hAnsi="黑体" w:eastAsia="黑体"/>
                <w:color w:val="auto"/>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p>
        </w:tc>
        <w:tc>
          <w:tcPr>
            <w:tcW w:w="2976" w:type="dxa"/>
            <w:shd w:val="clear" w:color="auto" w:fill="auto"/>
            <w:vAlign w:val="center"/>
          </w:tcPr>
          <w:p>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jc w:val="both"/>
        <w:textAlignment w:val="auto"/>
        <w:rPr>
          <w:rFonts w:hint="eastAsia" w:ascii="黑体" w:hAnsi="黑体" w:eastAsia="黑体" w:cs="黑体"/>
          <w:b w:val="0"/>
          <w:bCs/>
          <w:color w:val="auto"/>
          <w:sz w:val="32"/>
          <w:szCs w:val="32"/>
          <w:lang w:val="en-US" w:eastAsia="zh-CN"/>
        </w:rPr>
      </w:pPr>
      <w:r>
        <w:rPr>
          <w:rStyle w:val="7"/>
          <w:rFonts w:hint="eastAsia" w:ascii="楷体" w:hAnsi="楷体" w:eastAsia="楷体" w:cs="楷体"/>
          <w:spacing w:val="8"/>
          <w:sz w:val="32"/>
          <w:szCs w:val="32"/>
        </w:rPr>
        <w:t> </w:t>
      </w:r>
      <w:r>
        <w:rPr>
          <w:rStyle w:val="7"/>
          <w:rFonts w:hint="eastAsia" w:ascii="楷体" w:hAnsi="楷体" w:eastAsia="楷体" w:cs="楷体"/>
          <w:spacing w:val="8"/>
          <w:sz w:val="32"/>
          <w:szCs w:val="32"/>
          <w:lang w:val="en-US" w:eastAsia="zh-CN"/>
        </w:rPr>
        <w:t xml:space="preserve">   </w:t>
      </w:r>
      <w:r>
        <w:rPr>
          <w:rStyle w:val="7"/>
          <w:rFonts w:hint="eastAsia" w:ascii="黑体" w:hAnsi="黑体" w:eastAsia="黑体" w:cs="黑体"/>
          <w:b w:val="0"/>
          <w:bCs/>
          <w:spacing w:val="8"/>
          <w:sz w:val="32"/>
          <w:szCs w:val="32"/>
        </w:rPr>
        <w:t>四</w:t>
      </w:r>
      <w:r>
        <w:rPr>
          <w:rStyle w:val="7"/>
          <w:rFonts w:hint="eastAsia" w:ascii="黑体" w:hAnsi="黑体" w:eastAsia="黑体" w:cs="黑体"/>
          <w:b w:val="0"/>
          <w:bCs/>
          <w:spacing w:val="8"/>
          <w:sz w:val="32"/>
          <w:szCs w:val="32"/>
          <w:lang w:eastAsia="zh-CN"/>
        </w:rPr>
        <w:t>、</w:t>
      </w:r>
      <w:r>
        <w:rPr>
          <w:rStyle w:val="7"/>
          <w:rFonts w:hint="eastAsia" w:ascii="黑体" w:hAnsi="黑体" w:eastAsia="黑体" w:cs="黑体"/>
          <w:b w:val="0"/>
          <w:bCs/>
          <w:spacing w:val="8"/>
          <w:sz w:val="32"/>
          <w:szCs w:val="32"/>
        </w:rPr>
        <w:t>因政府信息公开工作被申请行政复议、提起行政诉讼情况</w:t>
      </w:r>
    </w:p>
    <w:tbl>
      <w:tblPr>
        <w:tblStyle w:val="5"/>
        <w:tblW w:w="99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4"/>
        <w:gridCol w:w="664"/>
        <w:gridCol w:w="664"/>
        <w:gridCol w:w="664"/>
        <w:gridCol w:w="731"/>
        <w:gridCol w:w="605"/>
        <w:gridCol w:w="665"/>
        <w:gridCol w:w="665"/>
        <w:gridCol w:w="665"/>
        <w:gridCol w:w="674"/>
        <w:gridCol w:w="665"/>
        <w:gridCol w:w="665"/>
        <w:gridCol w:w="665"/>
        <w:gridCol w:w="666"/>
        <w:gridCol w:w="6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338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行政复议</w:t>
            </w:r>
          </w:p>
        </w:tc>
        <w:tc>
          <w:tcPr>
            <w:tcW w:w="661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66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49" w:leftChars="-71" w:right="-170" w:rightChars="-81"/>
              <w:jc w:val="center"/>
              <w:rPr>
                <w:rFonts w:ascii="黑体" w:hAnsi="黑体" w:eastAsia="黑体"/>
                <w:color w:val="auto"/>
              </w:rPr>
            </w:pPr>
            <w:r>
              <w:rPr>
                <w:rFonts w:ascii="黑体" w:hAnsi="黑体" w:eastAsia="黑体"/>
                <w:color w:val="auto"/>
                <w:kern w:val="0"/>
                <w:sz w:val="20"/>
                <w:szCs w:val="20"/>
              </w:rPr>
              <w:t>维持</w:t>
            </w:r>
          </w:p>
        </w:tc>
        <w:tc>
          <w:tcPr>
            <w:tcW w:w="66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43" w:leftChars="-21" w:right="-132" w:rightChars="-63" w:hanging="1"/>
              <w:jc w:val="center"/>
              <w:rPr>
                <w:rFonts w:ascii="黑体" w:hAnsi="黑体" w:eastAsia="黑体"/>
                <w:color w:val="auto"/>
              </w:rPr>
            </w:pPr>
            <w:r>
              <w:rPr>
                <w:rFonts w:ascii="黑体" w:hAnsi="黑体" w:eastAsia="黑体"/>
                <w:color w:val="auto"/>
                <w:kern w:val="0"/>
                <w:sz w:val="20"/>
                <w:szCs w:val="20"/>
              </w:rPr>
              <w:t>纠正</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82" w:leftChars="-39" w:right="-97" w:rightChars="-46"/>
              <w:jc w:val="center"/>
              <w:rPr>
                <w:rFonts w:ascii="黑体" w:hAnsi="黑体" w:eastAsia="黑体"/>
                <w:color w:val="auto"/>
              </w:rPr>
            </w:pPr>
            <w:r>
              <w:rPr>
                <w:rFonts w:ascii="黑体" w:hAnsi="黑体" w:eastAsia="黑体"/>
                <w:color w:val="auto"/>
                <w:kern w:val="0"/>
                <w:sz w:val="20"/>
                <w:szCs w:val="20"/>
              </w:rPr>
              <w:t>结果</w:t>
            </w:r>
          </w:p>
        </w:tc>
        <w:tc>
          <w:tcPr>
            <w:tcW w:w="6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18" w:leftChars="-56" w:right="-118" w:rightChars="-56"/>
              <w:jc w:val="center"/>
              <w:rPr>
                <w:rFonts w:ascii="黑体" w:hAnsi="黑体" w:eastAsia="黑体"/>
                <w:color w:val="auto"/>
              </w:rPr>
            </w:pPr>
            <w:r>
              <w:rPr>
                <w:rFonts w:ascii="黑体" w:hAnsi="黑体" w:eastAsia="黑体"/>
                <w:color w:val="auto"/>
                <w:kern w:val="0"/>
                <w:sz w:val="20"/>
                <w:szCs w:val="20"/>
              </w:rPr>
              <w:t>审结</w:t>
            </w:r>
          </w:p>
        </w:tc>
        <w:tc>
          <w:tcPr>
            <w:tcW w:w="73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color w:val="auto"/>
              </w:rPr>
            </w:pPr>
            <w:r>
              <w:rPr>
                <w:rFonts w:ascii="黑体" w:hAnsi="黑体" w:eastAsia="黑体"/>
                <w:color w:val="auto"/>
                <w:kern w:val="0"/>
                <w:sz w:val="20"/>
                <w:szCs w:val="20"/>
              </w:rPr>
              <w:t>总计</w:t>
            </w:r>
          </w:p>
        </w:tc>
        <w:tc>
          <w:tcPr>
            <w:tcW w:w="327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未经复议直接起诉</w:t>
            </w:r>
          </w:p>
        </w:tc>
        <w:tc>
          <w:tcPr>
            <w:tcW w:w="333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bookmarkStart w:id="9" w:name="_Hlk67039688"/>
            <w:r>
              <w:rPr>
                <w:rFonts w:ascii="黑体" w:hAnsi="黑体" w:eastAsia="黑体"/>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66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color w:val="auto"/>
                <w:sz w:val="24"/>
              </w:rPr>
            </w:pPr>
          </w:p>
        </w:tc>
        <w:tc>
          <w:tcPr>
            <w:tcW w:w="6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color w:val="auto"/>
                <w:sz w:val="24"/>
              </w:rPr>
            </w:pPr>
          </w:p>
        </w:tc>
        <w:tc>
          <w:tcPr>
            <w:tcW w:w="6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color w:val="auto"/>
                <w:sz w:val="24"/>
              </w:rPr>
            </w:pPr>
          </w:p>
        </w:tc>
        <w:tc>
          <w:tcPr>
            <w:tcW w:w="73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color w:val="auto"/>
                <w:sz w:val="24"/>
              </w:rPr>
            </w:pP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05" w:leftChars="-50" w:right="-126" w:rightChars="-60"/>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86" w:leftChars="-41" w:right="-88" w:rightChars="-42"/>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26" w:leftChars="-60" w:right="-136" w:rightChars="-65"/>
              <w:jc w:val="center"/>
              <w:rPr>
                <w:rFonts w:ascii="黑体" w:hAnsi="黑体" w:eastAsia="黑体"/>
                <w:color w:val="auto"/>
              </w:rPr>
            </w:pPr>
            <w:r>
              <w:rPr>
                <w:rFonts w:ascii="黑体" w:hAnsi="黑体" w:eastAsia="黑体"/>
                <w:color w:val="auto"/>
                <w:kern w:val="0"/>
                <w:sz w:val="20"/>
                <w:szCs w:val="20"/>
              </w:rPr>
              <w:t>结果</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164" w:leftChars="-78" w:right="-153" w:rightChars="-73"/>
              <w:jc w:val="center"/>
              <w:rPr>
                <w:rFonts w:ascii="黑体" w:hAnsi="黑体" w:eastAsia="黑体"/>
                <w:color w:val="auto"/>
              </w:rPr>
            </w:pPr>
            <w:r>
              <w:rPr>
                <w:rFonts w:ascii="黑体" w:hAnsi="黑体" w:eastAsia="黑体"/>
                <w:color w:val="auto"/>
                <w:kern w:val="0"/>
                <w:sz w:val="20"/>
                <w:szCs w:val="20"/>
              </w:rPr>
              <w:t>审结</w:t>
            </w:r>
          </w:p>
        </w:tc>
        <w:tc>
          <w:tcPr>
            <w:tcW w:w="6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99" w:leftChars="-47" w:right="-78" w:rightChars="-37"/>
              <w:jc w:val="center"/>
              <w:rPr>
                <w:rFonts w:ascii="黑体" w:hAnsi="黑体" w:eastAsia="黑体"/>
                <w:color w:val="auto"/>
              </w:rPr>
            </w:pPr>
            <w:r>
              <w:rPr>
                <w:rFonts w:ascii="黑体" w:hAnsi="黑体" w:eastAsia="黑体"/>
                <w:color w:val="auto"/>
                <w:kern w:val="0"/>
                <w:sz w:val="20"/>
                <w:szCs w:val="20"/>
              </w:rPr>
              <w:t>维持</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color w:val="auto"/>
                <w:kern w:val="0"/>
                <w:sz w:val="20"/>
                <w:szCs w:val="20"/>
              </w:rPr>
            </w:pPr>
            <w:r>
              <w:rPr>
                <w:rFonts w:ascii="黑体" w:hAnsi="黑体" w:eastAsia="黑体"/>
                <w:color w:val="auto"/>
                <w:kern w:val="0"/>
                <w:sz w:val="20"/>
                <w:szCs w:val="20"/>
              </w:rPr>
              <w:t>结果</w:t>
            </w:r>
          </w:p>
          <w:p>
            <w:pPr>
              <w:widowControl/>
              <w:ind w:left="-136" w:leftChars="-65" w:right="-124" w:rightChars="-59"/>
              <w:jc w:val="center"/>
              <w:rPr>
                <w:rFonts w:ascii="黑体" w:hAnsi="黑体" w:eastAsia="黑体"/>
                <w:color w:val="auto"/>
              </w:rPr>
            </w:pPr>
            <w:r>
              <w:rPr>
                <w:rFonts w:ascii="黑体" w:hAnsi="黑体" w:eastAsia="黑体"/>
                <w:color w:val="auto"/>
                <w:kern w:val="0"/>
                <w:sz w:val="20"/>
                <w:szCs w:val="20"/>
              </w:rPr>
              <w:t>纠正</w:t>
            </w:r>
          </w:p>
        </w:tc>
        <w:tc>
          <w:tcPr>
            <w:tcW w:w="6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color w:val="auto"/>
                <w:kern w:val="0"/>
                <w:sz w:val="20"/>
                <w:szCs w:val="20"/>
              </w:rPr>
            </w:pPr>
            <w:r>
              <w:rPr>
                <w:rFonts w:ascii="黑体" w:hAnsi="黑体" w:eastAsia="黑体"/>
                <w:color w:val="auto"/>
                <w:kern w:val="0"/>
                <w:sz w:val="20"/>
                <w:szCs w:val="20"/>
              </w:rPr>
              <w:t>其他</w:t>
            </w:r>
          </w:p>
          <w:p>
            <w:pPr>
              <w:widowControl/>
              <w:ind w:left="-173" w:leftChars="-83" w:right="-134" w:rightChars="-64" w:hanging="1"/>
              <w:jc w:val="center"/>
              <w:rPr>
                <w:rFonts w:ascii="黑体" w:hAnsi="黑体" w:eastAsia="黑体"/>
                <w:color w:val="auto"/>
              </w:rPr>
            </w:pPr>
            <w:r>
              <w:rPr>
                <w:rFonts w:ascii="黑体" w:hAnsi="黑体" w:eastAsia="黑体"/>
                <w:color w:val="auto"/>
                <w:kern w:val="0"/>
                <w:sz w:val="20"/>
                <w:szCs w:val="20"/>
              </w:rPr>
              <w:t>结果</w:t>
            </w:r>
          </w:p>
        </w:tc>
        <w:tc>
          <w:tcPr>
            <w:tcW w:w="6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color w:val="auto"/>
                <w:kern w:val="0"/>
                <w:sz w:val="20"/>
                <w:szCs w:val="20"/>
              </w:rPr>
            </w:pPr>
            <w:r>
              <w:rPr>
                <w:rFonts w:ascii="黑体" w:hAnsi="黑体" w:eastAsia="黑体"/>
                <w:color w:val="auto"/>
                <w:kern w:val="0"/>
                <w:sz w:val="20"/>
                <w:szCs w:val="20"/>
              </w:rPr>
              <w:t>尚未</w:t>
            </w:r>
          </w:p>
          <w:p>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szCs w:val="20"/>
              </w:rPr>
              <w:t>审结</w:t>
            </w:r>
          </w:p>
        </w:tc>
        <w:tc>
          <w:tcPr>
            <w:tcW w:w="6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color w:val="auto"/>
              </w:rPr>
            </w:pPr>
            <w:r>
              <w:rPr>
                <w:rFonts w:ascii="黑体" w:hAnsi="黑体" w:eastAsia="黑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66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73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6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c>
          <w:tcPr>
            <w:tcW w:w="6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color w:val="auto"/>
                <w:lang w:val="en-US" w:eastAsia="zh-CN"/>
              </w:rPr>
            </w:pPr>
            <w:r>
              <w:rPr>
                <w:rFonts w:hint="eastAsia" w:ascii="Times New Roman" w:hAnsi="Times New Roman"/>
                <w:color w:val="auto"/>
                <w:lang w:val="en-US" w:eastAsia="zh-CN"/>
              </w:rPr>
              <w:t>0</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五、政府信息公开工作存在的主要问题及改进情况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楷体_GB2312" w:hAnsi="楷体_GB2312" w:eastAsia="楷体_GB2312" w:cs="楷体_GB2312"/>
          <w:b/>
          <w:bCs/>
          <w:color w:val="0000FF"/>
          <w:sz w:val="32"/>
          <w:szCs w:val="32"/>
        </w:rPr>
      </w:pPr>
      <w:r>
        <w:rPr>
          <w:rFonts w:hint="eastAsia" w:ascii="楷体_GB2312" w:hAnsi="楷体_GB2312" w:eastAsia="楷体_GB2312" w:cs="楷体_GB2312"/>
          <w:b/>
          <w:bCs/>
          <w:color w:val="auto"/>
          <w:sz w:val="32"/>
          <w:szCs w:val="32"/>
        </w:rPr>
        <w:t>（一）存在的主要问题</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leftChars="0" w:right="0" w:rightChars="0" w:firstLine="643" w:firstLineChars="200"/>
        <w:jc w:val="both"/>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政策文件解读方式不够丰富、质量和推送精准性均有待提高；</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政府网站与政务新媒体联动较少，没有做到相互关联；</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政务公开形式不够创新，政务新媒体宣传途径不够多样，政务信息内容可读性不强，感染力不够。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rPr>
        <w:t>（二）改进措施</w:t>
      </w:r>
    </w:p>
    <w:p>
      <w:pPr>
        <w:pStyle w:val="4"/>
        <w:keepNext w:val="0"/>
        <w:keepLines w:val="0"/>
        <w:pageBreakBefore w:val="0"/>
        <w:widowControl/>
        <w:numPr>
          <w:ilvl w:val="0"/>
          <w:numId w:val="0"/>
        </w:numPr>
        <w:suppressLineNumbers w:val="0"/>
        <w:tabs>
          <w:tab w:val="left" w:pos="1465"/>
        </w:tabs>
        <w:kinsoku/>
        <w:wordWrap/>
        <w:overflowPunct/>
        <w:topLinePunct w:val="0"/>
        <w:autoSpaceDE/>
        <w:autoSpaceDN/>
        <w:bidi w:val="0"/>
        <w:adjustRightInd/>
        <w:snapToGrid/>
        <w:spacing w:before="0" w:beforeAutospacing="0" w:afterAutospacing="0" w:line="560" w:lineRule="exact"/>
        <w:ind w:right="0" w:rightChars="0" w:firstLine="643"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持续创新政策解读形式，立足群众视角开展多层次解读，不断提高政策解读质量，充分运用政务公开专区等开展政策文件现场解读，有效提升政策传播率和到达率；</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color w:val="auto"/>
          <w:sz w:val="32"/>
          <w:szCs w:val="32"/>
          <w:lang w:val="en-US" w:eastAsia="zh-CN"/>
        </w:rPr>
        <w:t>进一步推动政府网站与政务新媒体协同公开信息，坚持站在群众视角，不断探索提升政务信息公开覆盖面；</w:t>
      </w:r>
      <w:r>
        <w:rPr>
          <w:rFonts w:hint="eastAsia"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color w:val="auto"/>
          <w:sz w:val="32"/>
          <w:szCs w:val="32"/>
          <w:lang w:val="en-US" w:eastAsia="zh-CN"/>
        </w:rPr>
        <w:t>将进一步创新政务信息公开形式，积极拓展使用监督电话、微信公众号等公开形式，增强政府信息公开的广泛性，提高政务公开的普及性和便民性。</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六、其他需要报告的事项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auto"/>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本行政机关人大代表建议和政协提案办理结果公开情况。全年</w:t>
      </w:r>
      <w:r>
        <w:rPr>
          <w:rFonts w:hint="eastAsia" w:ascii="Times New Roman" w:hAnsi="Times New Roman" w:eastAsia="仿宋_GB2312" w:cs="Times New Roman"/>
          <w:color w:val="auto"/>
          <w:sz w:val="32"/>
          <w:szCs w:val="32"/>
          <w:lang w:eastAsia="zh-CN"/>
        </w:rPr>
        <w:t>未</w:t>
      </w:r>
      <w:r>
        <w:rPr>
          <w:rFonts w:hint="default" w:ascii="Times New Roman" w:hAnsi="Times New Roman" w:eastAsia="仿宋_GB2312" w:cs="Times New Roman"/>
          <w:color w:val="auto"/>
          <w:sz w:val="32"/>
          <w:szCs w:val="32"/>
        </w:rPr>
        <w:t>承办区级人大代表建议</w:t>
      </w:r>
      <w:r>
        <w:rPr>
          <w:rFonts w:hint="eastAsia" w:ascii="Times New Roman" w:hAnsi="Times New Roman" w:eastAsia="仿宋_GB2312" w:cs="Times New Roman"/>
          <w:color w:val="auto"/>
          <w:sz w:val="32"/>
          <w:szCs w:val="32"/>
          <w:lang w:eastAsia="zh-CN"/>
        </w:rPr>
        <w:t>，全年承办</w:t>
      </w:r>
      <w:r>
        <w:rPr>
          <w:rFonts w:hint="default" w:ascii="Times New Roman" w:hAnsi="Times New Roman" w:eastAsia="仿宋_GB2312" w:cs="Times New Roman"/>
          <w:color w:val="auto"/>
          <w:sz w:val="32"/>
          <w:szCs w:val="32"/>
        </w:rPr>
        <w:t>区政协委员提案</w:t>
      </w:r>
      <w:r>
        <w:rPr>
          <w:rFonts w:hint="eastAsia" w:ascii="Times New Roman" w:hAnsi="Times New Roman" w:eastAsia="仿宋_GB2312" w:cs="Times New Roman"/>
          <w:color w:val="auto"/>
          <w:sz w:val="32"/>
          <w:szCs w:val="32"/>
          <w:lang w:val="en-US" w:eastAsia="zh-CN"/>
        </w:rPr>
        <w:t>1件。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2.本年度政府信息公开申请未达到《政府信息公开信息处理费管理办法》（国办函〔2020〕109号）所规定的信息处理费收费标准，故未收取信息处理费。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4.本行政机关年度政务公开工作创新情况。</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切实提升基层工作人员综合服务素质和能力，增强企业群众办事体验感和便利度；</w:t>
      </w:r>
      <w:r>
        <w:rPr>
          <w:rFonts w:hint="eastAsia"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color w:val="auto"/>
          <w:sz w:val="32"/>
          <w:szCs w:val="32"/>
          <w:lang w:val="en-US" w:eastAsia="zh-CN"/>
        </w:rPr>
        <w:t>升级</w:t>
      </w:r>
      <w:r>
        <w:rPr>
          <w:rFonts w:hint="eastAsia" w:ascii="Times New Roman" w:hAnsi="Times New Roman" w:eastAsia="仿宋_GB2312" w:cs="Times New Roman"/>
          <w:b w:val="0"/>
          <w:bCs w:val="0"/>
          <w:color w:val="auto"/>
          <w:sz w:val="32"/>
          <w:szCs w:val="32"/>
          <w:lang w:val="en-US" w:eastAsia="zh-CN"/>
        </w:rPr>
        <w:t>兴城街道“政务公开体验区”，进</w:t>
      </w:r>
      <w:bookmarkStart w:id="10" w:name="_GoBack"/>
      <w:bookmarkEnd w:id="10"/>
      <w:r>
        <w:rPr>
          <w:rFonts w:hint="eastAsia" w:ascii="Times New Roman" w:hAnsi="Times New Roman" w:eastAsia="仿宋_GB2312" w:cs="Times New Roman"/>
          <w:b w:val="0"/>
          <w:bCs w:val="0"/>
          <w:color w:val="auto"/>
          <w:sz w:val="32"/>
          <w:szCs w:val="32"/>
          <w:lang w:val="en-US" w:eastAsia="zh-CN"/>
        </w:rPr>
        <w:t>一步夯实政务公开工作基础，力争实现政务公开便民化、智能化、人性化，切实增强群众参与感。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本行政机关政府信息公开工作年度报告数据统计需要说明的事项。本报告中所列数据的统计时限为</w:t>
      </w: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日至</w:t>
      </w: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.本行政机关认为需要报告的其他事项。无。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.其他有关文件专门要求通过政府信息公开工作年度报告予以报告的事项。无。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如对本年度政府信息公开工作年度报告有疑问，请与枣庄高新区兴城街道联系（联系电话:0632-867</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008，电子邮箱:xingchengjieban@163.com）。</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firstLine="640" w:firstLineChars="200"/>
        <w:jc w:val="both"/>
        <w:textAlignment w:val="auto"/>
        <w:rPr>
          <w:rFonts w:hint="eastAsia" w:ascii="Times New Roman" w:hAnsi="Times New Roman" w:eastAsia="仿宋_GB2312" w:cs="Times New Roman"/>
          <w:color w:val="auto"/>
          <w:sz w:val="32"/>
          <w:szCs w:val="32"/>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right="0" w:rightChars="0"/>
        <w:jc w:val="both"/>
        <w:textAlignment w:val="auto"/>
        <w:rPr>
          <w:rFonts w:hint="eastAsia" w:ascii="Times New Roman" w:hAnsi="Times New Roman" w:eastAsia="仿宋_GB2312" w:cs="Times New Roman"/>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3586A"/>
    <w:multiLevelType w:val="singleLevel"/>
    <w:tmpl w:val="E9A3586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JlNDY2MTkyZmE1NDA1OGE0NWY3NmYwZWEzYzkifQ=="/>
  </w:docVars>
  <w:rsids>
    <w:rsidRoot w:val="00000000"/>
    <w:rsid w:val="005C4D2E"/>
    <w:rsid w:val="00F9432B"/>
    <w:rsid w:val="018E53BB"/>
    <w:rsid w:val="019F1377"/>
    <w:rsid w:val="02775E4F"/>
    <w:rsid w:val="03BE185C"/>
    <w:rsid w:val="042913CB"/>
    <w:rsid w:val="04C5045F"/>
    <w:rsid w:val="04CB5FDF"/>
    <w:rsid w:val="051F457C"/>
    <w:rsid w:val="05BE1FE7"/>
    <w:rsid w:val="05E03D0C"/>
    <w:rsid w:val="05F72E03"/>
    <w:rsid w:val="06085010"/>
    <w:rsid w:val="063D4CBA"/>
    <w:rsid w:val="065344DE"/>
    <w:rsid w:val="06913258"/>
    <w:rsid w:val="06C726BC"/>
    <w:rsid w:val="06EE2458"/>
    <w:rsid w:val="071874D5"/>
    <w:rsid w:val="078F7797"/>
    <w:rsid w:val="08B60D54"/>
    <w:rsid w:val="08C416C3"/>
    <w:rsid w:val="090715AF"/>
    <w:rsid w:val="093C394F"/>
    <w:rsid w:val="09E55D95"/>
    <w:rsid w:val="0A8C6210"/>
    <w:rsid w:val="0AEA1189"/>
    <w:rsid w:val="0BAD4690"/>
    <w:rsid w:val="0C0B585A"/>
    <w:rsid w:val="0D86163D"/>
    <w:rsid w:val="0DB717F6"/>
    <w:rsid w:val="0E4A08BC"/>
    <w:rsid w:val="0E601E8E"/>
    <w:rsid w:val="0EA53D44"/>
    <w:rsid w:val="0EAC6E81"/>
    <w:rsid w:val="0EC853E9"/>
    <w:rsid w:val="0F2C1D70"/>
    <w:rsid w:val="0FB6788B"/>
    <w:rsid w:val="0FDA7A1E"/>
    <w:rsid w:val="100F3B6B"/>
    <w:rsid w:val="10637A13"/>
    <w:rsid w:val="115A0E16"/>
    <w:rsid w:val="11904838"/>
    <w:rsid w:val="11C72224"/>
    <w:rsid w:val="133E2072"/>
    <w:rsid w:val="134E49AB"/>
    <w:rsid w:val="13CA1B57"/>
    <w:rsid w:val="144731A8"/>
    <w:rsid w:val="14E32ED1"/>
    <w:rsid w:val="15043711"/>
    <w:rsid w:val="153B2D0D"/>
    <w:rsid w:val="15A308B2"/>
    <w:rsid w:val="16021A7C"/>
    <w:rsid w:val="16F77107"/>
    <w:rsid w:val="171E28E6"/>
    <w:rsid w:val="17822E75"/>
    <w:rsid w:val="179B7A92"/>
    <w:rsid w:val="18463EA2"/>
    <w:rsid w:val="18496DE3"/>
    <w:rsid w:val="18700F1F"/>
    <w:rsid w:val="18C63235"/>
    <w:rsid w:val="18DF42F7"/>
    <w:rsid w:val="193E726F"/>
    <w:rsid w:val="19B72B7E"/>
    <w:rsid w:val="19F85670"/>
    <w:rsid w:val="1A4C59BC"/>
    <w:rsid w:val="1B4D72F6"/>
    <w:rsid w:val="1BD21EF1"/>
    <w:rsid w:val="1BF43C15"/>
    <w:rsid w:val="1C47468D"/>
    <w:rsid w:val="1C7865F4"/>
    <w:rsid w:val="1CDF0421"/>
    <w:rsid w:val="1D8611E5"/>
    <w:rsid w:val="1E214A6A"/>
    <w:rsid w:val="1E37428D"/>
    <w:rsid w:val="1E5906A7"/>
    <w:rsid w:val="1EAE09F3"/>
    <w:rsid w:val="1EE75CB3"/>
    <w:rsid w:val="1F1A1BE5"/>
    <w:rsid w:val="202F346E"/>
    <w:rsid w:val="209B6D55"/>
    <w:rsid w:val="20CE2C87"/>
    <w:rsid w:val="20D14525"/>
    <w:rsid w:val="20F052F3"/>
    <w:rsid w:val="21052421"/>
    <w:rsid w:val="21091F11"/>
    <w:rsid w:val="21260D15"/>
    <w:rsid w:val="21556F04"/>
    <w:rsid w:val="21676C37"/>
    <w:rsid w:val="221C3EC6"/>
    <w:rsid w:val="22FD5AA5"/>
    <w:rsid w:val="2342170A"/>
    <w:rsid w:val="23582CDC"/>
    <w:rsid w:val="23737B15"/>
    <w:rsid w:val="23E565FA"/>
    <w:rsid w:val="24013373"/>
    <w:rsid w:val="24417C14"/>
    <w:rsid w:val="247B1377"/>
    <w:rsid w:val="24DB0068"/>
    <w:rsid w:val="250E3F9A"/>
    <w:rsid w:val="252E63EA"/>
    <w:rsid w:val="2561056D"/>
    <w:rsid w:val="25B82157"/>
    <w:rsid w:val="25C74149"/>
    <w:rsid w:val="2610789E"/>
    <w:rsid w:val="263B20A0"/>
    <w:rsid w:val="26775B6F"/>
    <w:rsid w:val="26A30712"/>
    <w:rsid w:val="26F70A5D"/>
    <w:rsid w:val="274C2B57"/>
    <w:rsid w:val="27CB6172"/>
    <w:rsid w:val="28074CD0"/>
    <w:rsid w:val="28DE1ED5"/>
    <w:rsid w:val="291853E7"/>
    <w:rsid w:val="294A30C6"/>
    <w:rsid w:val="294C5091"/>
    <w:rsid w:val="29D05CC2"/>
    <w:rsid w:val="29D3130E"/>
    <w:rsid w:val="2A181417"/>
    <w:rsid w:val="2A6603D4"/>
    <w:rsid w:val="2AFA28CA"/>
    <w:rsid w:val="2B3C2EE3"/>
    <w:rsid w:val="2B473D61"/>
    <w:rsid w:val="2B69017C"/>
    <w:rsid w:val="2BA50A88"/>
    <w:rsid w:val="2C994A91"/>
    <w:rsid w:val="2CC43190"/>
    <w:rsid w:val="2D67693D"/>
    <w:rsid w:val="2DD85145"/>
    <w:rsid w:val="2E7806D6"/>
    <w:rsid w:val="2F1523C9"/>
    <w:rsid w:val="2F1F0B51"/>
    <w:rsid w:val="2F754C15"/>
    <w:rsid w:val="2FBE480E"/>
    <w:rsid w:val="2FF124EE"/>
    <w:rsid w:val="30640F12"/>
    <w:rsid w:val="30ED53AB"/>
    <w:rsid w:val="312F7772"/>
    <w:rsid w:val="313D27D5"/>
    <w:rsid w:val="326E6078"/>
    <w:rsid w:val="32A10A97"/>
    <w:rsid w:val="34A22009"/>
    <w:rsid w:val="34F767F8"/>
    <w:rsid w:val="34F85D6A"/>
    <w:rsid w:val="3502519D"/>
    <w:rsid w:val="353C420B"/>
    <w:rsid w:val="355F7EFA"/>
    <w:rsid w:val="35CD57AB"/>
    <w:rsid w:val="366854D4"/>
    <w:rsid w:val="3699743B"/>
    <w:rsid w:val="37227431"/>
    <w:rsid w:val="372413FB"/>
    <w:rsid w:val="37531CE0"/>
    <w:rsid w:val="37B02C8E"/>
    <w:rsid w:val="38C2711D"/>
    <w:rsid w:val="39706B79"/>
    <w:rsid w:val="397321C6"/>
    <w:rsid w:val="39D4535A"/>
    <w:rsid w:val="39EE5CF0"/>
    <w:rsid w:val="3A267238"/>
    <w:rsid w:val="3A777A93"/>
    <w:rsid w:val="3B143534"/>
    <w:rsid w:val="3BD778AE"/>
    <w:rsid w:val="3BD80A06"/>
    <w:rsid w:val="3CB054DF"/>
    <w:rsid w:val="3D89020A"/>
    <w:rsid w:val="3DD82F3F"/>
    <w:rsid w:val="3DF15DAF"/>
    <w:rsid w:val="3F4A1C1A"/>
    <w:rsid w:val="3F80388E"/>
    <w:rsid w:val="3FAC01DF"/>
    <w:rsid w:val="40297A82"/>
    <w:rsid w:val="405A7C3B"/>
    <w:rsid w:val="409E3FCC"/>
    <w:rsid w:val="40C31C84"/>
    <w:rsid w:val="417E204F"/>
    <w:rsid w:val="41E00614"/>
    <w:rsid w:val="41EC520B"/>
    <w:rsid w:val="42894808"/>
    <w:rsid w:val="431C567C"/>
    <w:rsid w:val="43324E9F"/>
    <w:rsid w:val="44022AC4"/>
    <w:rsid w:val="4427077C"/>
    <w:rsid w:val="44775260"/>
    <w:rsid w:val="44C61D43"/>
    <w:rsid w:val="44CD30D2"/>
    <w:rsid w:val="4550160D"/>
    <w:rsid w:val="4554734F"/>
    <w:rsid w:val="459E4A6E"/>
    <w:rsid w:val="45CA7611"/>
    <w:rsid w:val="46B04A59"/>
    <w:rsid w:val="46E12E64"/>
    <w:rsid w:val="46E6047B"/>
    <w:rsid w:val="473A2575"/>
    <w:rsid w:val="47AB5220"/>
    <w:rsid w:val="49090450"/>
    <w:rsid w:val="49267254"/>
    <w:rsid w:val="494D47E1"/>
    <w:rsid w:val="4A655B5A"/>
    <w:rsid w:val="4A69564B"/>
    <w:rsid w:val="4B441C14"/>
    <w:rsid w:val="4BF076A6"/>
    <w:rsid w:val="4CAA1F4A"/>
    <w:rsid w:val="4D693BB4"/>
    <w:rsid w:val="4E577EB0"/>
    <w:rsid w:val="4E8642F1"/>
    <w:rsid w:val="4E8A3DE2"/>
    <w:rsid w:val="4E915170"/>
    <w:rsid w:val="4F9B5B7A"/>
    <w:rsid w:val="4F9F1B0F"/>
    <w:rsid w:val="4FE47521"/>
    <w:rsid w:val="4FF84D7B"/>
    <w:rsid w:val="50175B49"/>
    <w:rsid w:val="505E043D"/>
    <w:rsid w:val="50B769E4"/>
    <w:rsid w:val="50D21A70"/>
    <w:rsid w:val="50F33EC0"/>
    <w:rsid w:val="51022355"/>
    <w:rsid w:val="51CC64BF"/>
    <w:rsid w:val="51FD2B1C"/>
    <w:rsid w:val="532540D9"/>
    <w:rsid w:val="532F6D06"/>
    <w:rsid w:val="53360094"/>
    <w:rsid w:val="53BA6F17"/>
    <w:rsid w:val="5435659E"/>
    <w:rsid w:val="545804DE"/>
    <w:rsid w:val="54D062C6"/>
    <w:rsid w:val="54D9517B"/>
    <w:rsid w:val="54DB5397"/>
    <w:rsid w:val="5503669C"/>
    <w:rsid w:val="55175CA3"/>
    <w:rsid w:val="5523289A"/>
    <w:rsid w:val="55B61960"/>
    <w:rsid w:val="55D3606E"/>
    <w:rsid w:val="55EB785C"/>
    <w:rsid w:val="5604091D"/>
    <w:rsid w:val="56CF2CD9"/>
    <w:rsid w:val="56DA342C"/>
    <w:rsid w:val="57DD4F82"/>
    <w:rsid w:val="584A6390"/>
    <w:rsid w:val="58A12453"/>
    <w:rsid w:val="58DF2F7C"/>
    <w:rsid w:val="59123351"/>
    <w:rsid w:val="5A290952"/>
    <w:rsid w:val="5A8913F1"/>
    <w:rsid w:val="5B0311A3"/>
    <w:rsid w:val="5BD91F04"/>
    <w:rsid w:val="5D373386"/>
    <w:rsid w:val="5D375134"/>
    <w:rsid w:val="5D485594"/>
    <w:rsid w:val="5D8B5480"/>
    <w:rsid w:val="5DE60909"/>
    <w:rsid w:val="5EF332DD"/>
    <w:rsid w:val="5F100333"/>
    <w:rsid w:val="5F337B7D"/>
    <w:rsid w:val="5F3833E6"/>
    <w:rsid w:val="5FCF3D4A"/>
    <w:rsid w:val="604007A4"/>
    <w:rsid w:val="616C7377"/>
    <w:rsid w:val="61E82EA1"/>
    <w:rsid w:val="622F0AD0"/>
    <w:rsid w:val="62A3501A"/>
    <w:rsid w:val="62AF7E63"/>
    <w:rsid w:val="6549634D"/>
    <w:rsid w:val="657F58CB"/>
    <w:rsid w:val="66083B12"/>
    <w:rsid w:val="66540B05"/>
    <w:rsid w:val="668F1B3D"/>
    <w:rsid w:val="66ED0F5A"/>
    <w:rsid w:val="673F7A07"/>
    <w:rsid w:val="674943E2"/>
    <w:rsid w:val="67801DCE"/>
    <w:rsid w:val="68555008"/>
    <w:rsid w:val="68B57855"/>
    <w:rsid w:val="690031C6"/>
    <w:rsid w:val="692C7B17"/>
    <w:rsid w:val="693B5FAC"/>
    <w:rsid w:val="69407A67"/>
    <w:rsid w:val="6A114F5F"/>
    <w:rsid w:val="6AA87672"/>
    <w:rsid w:val="6AFB1E97"/>
    <w:rsid w:val="6B2D401B"/>
    <w:rsid w:val="6BB12556"/>
    <w:rsid w:val="6BD10E4A"/>
    <w:rsid w:val="6BD3071E"/>
    <w:rsid w:val="6C07486C"/>
    <w:rsid w:val="6C111246"/>
    <w:rsid w:val="6E95615F"/>
    <w:rsid w:val="6FE949B4"/>
    <w:rsid w:val="7020414E"/>
    <w:rsid w:val="703F2826"/>
    <w:rsid w:val="70875F7B"/>
    <w:rsid w:val="70A1528F"/>
    <w:rsid w:val="70D867D7"/>
    <w:rsid w:val="70E37655"/>
    <w:rsid w:val="71BE3C1E"/>
    <w:rsid w:val="737E3665"/>
    <w:rsid w:val="73AA6208"/>
    <w:rsid w:val="742F670E"/>
    <w:rsid w:val="743B3304"/>
    <w:rsid w:val="744C72C0"/>
    <w:rsid w:val="74A92964"/>
    <w:rsid w:val="74F82FA3"/>
    <w:rsid w:val="75614FED"/>
    <w:rsid w:val="757E5B9F"/>
    <w:rsid w:val="75C86E1A"/>
    <w:rsid w:val="76830F93"/>
    <w:rsid w:val="76F93003"/>
    <w:rsid w:val="76FA74A7"/>
    <w:rsid w:val="772269FE"/>
    <w:rsid w:val="77244524"/>
    <w:rsid w:val="773504DF"/>
    <w:rsid w:val="779A47E6"/>
    <w:rsid w:val="78E35D19"/>
    <w:rsid w:val="7961380D"/>
    <w:rsid w:val="799F682B"/>
    <w:rsid w:val="7A212F9C"/>
    <w:rsid w:val="7A523156"/>
    <w:rsid w:val="7A813A3B"/>
    <w:rsid w:val="7AFE6E3A"/>
    <w:rsid w:val="7B0C59FB"/>
    <w:rsid w:val="7B346CFF"/>
    <w:rsid w:val="7B783090"/>
    <w:rsid w:val="7BBF0CBF"/>
    <w:rsid w:val="7C5533D1"/>
    <w:rsid w:val="7C8F0691"/>
    <w:rsid w:val="7CB65C1E"/>
    <w:rsid w:val="7CE502B1"/>
    <w:rsid w:val="7CF90201"/>
    <w:rsid w:val="7D0C1CE2"/>
    <w:rsid w:val="7D276B1C"/>
    <w:rsid w:val="7DA55C93"/>
    <w:rsid w:val="7E130E4E"/>
    <w:rsid w:val="7E3C03A5"/>
    <w:rsid w:val="7E8B4E88"/>
    <w:rsid w:val="7ED76320"/>
    <w:rsid w:val="7F5C2810"/>
    <w:rsid w:val="7F932247"/>
    <w:rsid w:val="7FAE7080"/>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2310</Words>
  <Characters>2422</Characters>
  <Lines>0</Lines>
  <Paragraphs>0</Paragraphs>
  <TotalTime>41</TotalTime>
  <ScaleCrop>false</ScaleCrop>
  <LinksUpToDate>false</LinksUpToDate>
  <CharactersWithSpaces>2460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2024-01-16T06:59:00Z</dcterms:created>
  <dc:creator>Administrator</dc:creator>
  <cp:lastModifiedBy>伊儿</cp:lastModifiedBy>
  <dcterms:modified xsi:type="dcterms:W3CDTF">2024-01-25T09:13:41Z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6F5E708E7BBC4991AB98E02870A3A20A_12</vt:lpwstr>
  </property>
</Properties>
</file>