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Style w:val="6"/>
          <w:rFonts w:hint="eastAsia" w:ascii="方正小标宋简体" w:hAnsi="方正小标宋简体" w:eastAsia="方正小标宋简体" w:cs="方正小标宋简体"/>
          <w:b w:val="0"/>
          <w:bCs/>
          <w:i w:val="0"/>
          <w:caps w:val="0"/>
          <w:color w:val="000000"/>
          <w:spacing w:val="0"/>
          <w:kern w:val="0"/>
          <w:sz w:val="44"/>
          <w:szCs w:val="44"/>
          <w:shd w:val="clear" w:fill="FFFFFF"/>
          <w:lang w:val="en-US" w:eastAsia="zh-CN" w:bidi="ar"/>
        </w:rPr>
      </w:pPr>
      <w:r>
        <w:rPr>
          <w:rStyle w:val="6"/>
          <w:rFonts w:hint="eastAsia" w:ascii="方正小标宋简体" w:hAnsi="方正小标宋简体" w:eastAsia="方正小标宋简体" w:cs="方正小标宋简体"/>
          <w:b w:val="0"/>
          <w:bCs/>
          <w:i w:val="0"/>
          <w:caps w:val="0"/>
          <w:color w:val="000000"/>
          <w:spacing w:val="0"/>
          <w:kern w:val="0"/>
          <w:sz w:val="44"/>
          <w:szCs w:val="44"/>
          <w:shd w:val="clear" w:fill="FFFFFF"/>
          <w:lang w:val="en-US" w:eastAsia="zh-CN" w:bidi="ar"/>
        </w:rPr>
        <w:t>枣庄高新区党群工作部2023年度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textAlignment w:val="auto"/>
        <w:rPr>
          <w:rFonts w:hint="eastAsia" w:ascii="方正小标宋简体" w:hAnsi="方正小标宋简体" w:eastAsia="方正小标宋简体" w:cs="方正小标宋简体"/>
          <w:b w:val="0"/>
          <w:bCs/>
          <w:sz w:val="44"/>
          <w:szCs w:val="44"/>
        </w:rPr>
      </w:pPr>
      <w:r>
        <w:rPr>
          <w:rStyle w:val="6"/>
          <w:rFonts w:hint="eastAsia" w:ascii="方正小标宋简体" w:hAnsi="方正小标宋简体" w:eastAsia="方正小标宋简体" w:cs="方正小标宋简体"/>
          <w:b w:val="0"/>
          <w:bCs/>
          <w:i w:val="0"/>
          <w:caps w:val="0"/>
          <w:color w:val="000000"/>
          <w:spacing w:val="0"/>
          <w:kern w:val="0"/>
          <w:sz w:val="44"/>
          <w:szCs w:val="44"/>
          <w:shd w:val="clear" w:fill="FFFFFF"/>
          <w:lang w:val="en-US" w:eastAsia="zh-CN" w:bidi="ar"/>
        </w:rPr>
        <w:t>政府信息公开年报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left"/>
        <w:textAlignment w:val="auto"/>
        <w:rPr>
          <w:rFonts w:hint="eastAsia" w:ascii="宋体" w:hAnsi="宋体" w:eastAsia="宋体" w:cs="宋体"/>
          <w:b w:val="0"/>
          <w:i w:val="0"/>
          <w:caps w:val="0"/>
          <w:color w:val="000000"/>
          <w:spacing w:val="0"/>
          <w:kern w:val="0"/>
          <w:sz w:val="28"/>
          <w:szCs w:val="28"/>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color="auto" w:fill="auto"/>
          <w14:textFill>
            <w14:solidFill>
              <w14:schemeClr w14:val="tx1"/>
            </w14:solidFill>
          </w14:textFill>
        </w:rPr>
      </w:pPr>
      <w:r>
        <w:rPr>
          <w:rFonts w:hint="eastAsia" w:ascii="仿宋_GB2312" w:hAnsi="仿宋_GB2312" w:eastAsia="仿宋_GB2312" w:cs="仿宋_GB2312"/>
          <w:sz w:val="32"/>
          <w:szCs w:val="32"/>
        </w:rPr>
        <w:t>本报告根据《中华人民共和国政府信息公开条例》《中华人民共和国政府信息公开工作年度报告格式》的通知（国办公开办函〔2021〕30号）和省、市有关工作要求，由枣庄高新区</w:t>
      </w:r>
      <w:r>
        <w:rPr>
          <w:rFonts w:hint="eastAsia" w:ascii="仿宋_GB2312" w:hAnsi="仿宋_GB2312" w:eastAsia="仿宋_GB2312" w:cs="仿宋_GB2312"/>
          <w:sz w:val="32"/>
          <w:szCs w:val="32"/>
          <w:lang w:eastAsia="zh-CN"/>
        </w:rPr>
        <w:t>党群工作部</w:t>
      </w:r>
      <w:r>
        <w:rPr>
          <w:rFonts w:hint="eastAsia" w:ascii="仿宋_GB2312" w:hAnsi="仿宋_GB2312" w:eastAsia="仿宋_GB2312" w:cs="仿宋_GB2312"/>
          <w:sz w:val="32"/>
          <w:szCs w:val="32"/>
        </w:rPr>
        <w:t>编制。全文包括202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年政府信息公开工作要点落实情况，主动公开政府信息情况，回应解读情况，依申请公开情况，政府信息公开行政复议、行政诉讼和投诉情况，存在的主要问题及改进措施等。</w:t>
      </w:r>
      <w:r>
        <w:rPr>
          <w:rFonts w:hint="eastAsia" w:ascii="仿宋_GB2312" w:hAnsi="仿宋_GB2312" w:eastAsia="仿宋_GB2312" w:cs="仿宋_GB2312"/>
          <w:b w:val="0"/>
          <w:i w:val="0"/>
          <w:caps w:val="0"/>
          <w:color w:val="000000"/>
          <w:spacing w:val="0"/>
          <w:kern w:val="0"/>
          <w:sz w:val="32"/>
          <w:szCs w:val="32"/>
          <w:shd w:val="clear" w:fill="FFFFFF"/>
          <w:lang w:val="en-US" w:eastAsia="zh-CN" w:bidi="ar"/>
        </w:rPr>
        <w:t>本年度报告中所列数据的统计期限自2023年1月1日起至2023年12月31日止。</w:t>
      </w: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auto"/>
          <w14:textFill>
            <w14:solidFill>
              <w14:schemeClr w14:val="tx1"/>
            </w14:solidFill>
          </w14:textFill>
        </w:rPr>
        <w:t>本报告全文在将枣庄高新区官方网站（http://www.zzctp.gov.cn/）“政府信息公开年度报告”专栏公布。如对本年度政府信息公开工作年度报告有疑问，请与枣庄高新区</w:t>
      </w: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auto"/>
          <w:lang w:val="en-US" w:eastAsia="zh-CN"/>
          <w14:textFill>
            <w14:solidFill>
              <w14:schemeClr w14:val="tx1"/>
            </w14:solidFill>
          </w14:textFill>
        </w:rPr>
        <w:t>党群工作部</w:t>
      </w: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auto"/>
          <w14:textFill>
            <w14:solidFill>
              <w14:schemeClr w14:val="tx1"/>
            </w14:solidFill>
          </w14:textFill>
        </w:rPr>
        <w:t>联系（联系电话:0632-</w:t>
      </w: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auto"/>
          <w:lang w:val="en-US" w:eastAsia="zh-CN"/>
          <w14:textFill>
            <w14:solidFill>
              <w14:schemeClr w14:val="tx1"/>
            </w14:solidFill>
          </w14:textFill>
        </w:rPr>
        <w:t>8693278</w:t>
      </w: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auto"/>
          <w14:textFill>
            <w14:solidFill>
              <w14:schemeClr w14:val="tx1"/>
            </w14:solidFill>
          </w14:textFill>
        </w:rPr>
        <w:t>，电子邮箱:gx</w:t>
      </w: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auto"/>
          <w:lang w:val="en-US" w:eastAsia="zh-CN"/>
          <w14:textFill>
            <w14:solidFill>
              <w14:schemeClr w14:val="tx1"/>
            </w14:solidFill>
          </w14:textFill>
        </w:rPr>
        <w:t>zgbbgs</w:t>
      </w: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auto"/>
          <w14:textFill>
            <w14:solidFill>
              <w14:schemeClr w14:val="tx1"/>
            </w14:solidFill>
          </w14:textFill>
        </w:rPr>
        <w:t>@163.com）。</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color="auto" w:fill="auto"/>
          <w14:textFill>
            <w14:solidFill>
              <w14:schemeClr w14:val="tx1"/>
            </w14:solidFill>
          </w14:textFill>
        </w:rPr>
      </w:pPr>
      <w:r>
        <w:rPr>
          <w:rFonts w:hint="eastAsia" w:ascii="黑体" w:hAnsi="黑体" w:eastAsia="黑体" w:cs="黑体"/>
          <w:b w:val="0"/>
          <w:bCs w:val="0"/>
          <w:i w:val="0"/>
          <w:caps w:val="0"/>
          <w:color w:val="000000"/>
          <w:spacing w:val="0"/>
          <w:kern w:val="0"/>
          <w:sz w:val="32"/>
          <w:szCs w:val="32"/>
          <w:shd w:val="clear" w:fill="FFFFFF"/>
          <w:lang w:val="en-US" w:eastAsia="zh-CN" w:bidi="ar"/>
        </w:rPr>
        <w:drawing>
          <wp:anchor distT="0" distB="0" distL="114300" distR="114300" simplePos="0" relativeHeight="251659264" behindDoc="0" locked="0" layoutInCell="1" allowOverlap="1">
            <wp:simplePos x="0" y="0"/>
            <wp:positionH relativeFrom="column">
              <wp:posOffset>480060</wp:posOffset>
            </wp:positionH>
            <wp:positionV relativeFrom="paragraph">
              <wp:posOffset>253365</wp:posOffset>
            </wp:positionV>
            <wp:extent cx="4608195" cy="2946400"/>
            <wp:effectExtent l="4445" t="4445" r="16510" b="2095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color="auto" w:fill="auto"/>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Style w:val="6"/>
          <w:rFonts w:hint="eastAsia" w:ascii="黑体" w:hAnsi="黑体" w:eastAsia="黑体" w:cs="黑体"/>
          <w:b w:val="0"/>
          <w:bCs w:val="0"/>
          <w:i w:val="0"/>
          <w:caps w:val="0"/>
          <w:color w:val="000000"/>
          <w:spacing w:val="0"/>
          <w:kern w:val="0"/>
          <w:sz w:val="32"/>
          <w:szCs w:val="32"/>
          <w:shd w:val="clear" w:fill="FFFFFF"/>
          <w:lang w:val="en-US" w:eastAsia="zh-CN" w:bidi="ar"/>
        </w:rPr>
      </w:pPr>
      <w:r>
        <w:rPr>
          <w:rStyle w:val="6"/>
          <w:rFonts w:hint="eastAsia" w:ascii="黑体" w:hAnsi="黑体" w:eastAsia="黑体" w:cs="黑体"/>
          <w:b w:val="0"/>
          <w:bCs w:val="0"/>
          <w:i w:val="0"/>
          <w:caps w:val="0"/>
          <w:color w:val="000000"/>
          <w:spacing w:val="0"/>
          <w:kern w:val="0"/>
          <w:sz w:val="32"/>
          <w:szCs w:val="32"/>
          <w:shd w:val="clear" w:fill="FFFFFF"/>
          <w:lang w:val="en-US" w:eastAsia="zh-CN" w:bidi="ar"/>
        </w:rPr>
        <w:t>一、总体情况</w:t>
      </w:r>
    </w:p>
    <w:p>
      <w:pPr>
        <w:keepNext w:val="0"/>
        <w:keepLines w:val="0"/>
        <w:pageBreakBefore w:val="0"/>
        <w:kinsoku/>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i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i w:val="0"/>
          <w:caps w:val="0"/>
          <w:color w:val="000000"/>
          <w:spacing w:val="0"/>
          <w:kern w:val="0"/>
          <w:sz w:val="32"/>
          <w:szCs w:val="32"/>
          <w:shd w:val="clear" w:fill="FFFFFF"/>
          <w:lang w:val="en-US" w:eastAsia="zh-CN" w:bidi="ar"/>
        </w:rPr>
        <w:t>2023年，党群工作部认真贯彻落实《中华人民共和国政府信息公开条例》、《山东省政府信息公开办法》规定的有关通知要求，遵循依法、准确、及时、公正和便民的原则，加强组织领导，明确责任分工，细化分解任务，加大督导力度，全面推进组织建设、平台建设、制度建设，扎实做好政府信息公开工作政府信息公开工作的积极性、主动性不断提高，政府工作透明度进一步增强，有效地保障了公民的知情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Fonts w:hint="eastAsia" w:ascii="楷体_GB2312" w:hAnsi="楷体_GB2312" w:eastAsia="楷体_GB2312" w:cs="楷体_GB2312"/>
          <w:sz w:val="32"/>
          <w:szCs w:val="32"/>
        </w:rPr>
      </w:pPr>
      <w:r>
        <w:rPr>
          <w:rStyle w:val="6"/>
          <w:rFonts w:hint="eastAsia" w:ascii="楷体_GB2312" w:hAnsi="楷体_GB2312" w:eastAsia="楷体_GB2312" w:cs="楷体_GB2312"/>
          <w:i w:val="0"/>
          <w:caps w:val="0"/>
          <w:color w:val="000000"/>
          <w:spacing w:val="0"/>
          <w:kern w:val="0"/>
          <w:sz w:val="32"/>
          <w:szCs w:val="32"/>
          <w:shd w:val="clear" w:fill="FFFFFF"/>
          <w:lang w:val="en-US" w:eastAsia="zh-CN" w:bidi="ar"/>
        </w:rPr>
        <w:t>（一）主动公开政府信息数</w:t>
      </w:r>
    </w:p>
    <w:p>
      <w:pPr>
        <w:keepNext w:val="0"/>
        <w:keepLines w:val="0"/>
        <w:pageBreakBefore w:val="0"/>
        <w:kinsoku/>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i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i w:val="0"/>
          <w:caps w:val="0"/>
          <w:color w:val="000000"/>
          <w:spacing w:val="0"/>
          <w:kern w:val="0"/>
          <w:sz w:val="32"/>
          <w:szCs w:val="32"/>
          <w:shd w:val="clear" w:fill="FFFFFF"/>
          <w:lang w:val="en-US" w:eastAsia="zh-CN" w:bidi="ar"/>
        </w:rPr>
        <w:t>人事信息方面，主动公开文件3件，网上公开了3件，</w:t>
      </w:r>
    </w:p>
    <w:p>
      <w:pPr>
        <w:keepNext w:val="0"/>
        <w:keepLines w:val="0"/>
        <w:pageBreakBefore w:val="0"/>
        <w:kinsoku/>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i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i w:val="0"/>
          <w:caps w:val="0"/>
          <w:color w:val="000000"/>
          <w:spacing w:val="0"/>
          <w:kern w:val="0"/>
          <w:sz w:val="32"/>
          <w:szCs w:val="32"/>
          <w:shd w:val="clear" w:fill="FFFFFF"/>
          <w:lang w:val="en-US" w:eastAsia="zh-CN" w:bidi="ar"/>
        </w:rPr>
        <w:t>其他信息方面，及时更新机构职能、管理和服务公开等，编制发布政府信息主动公开基本目录；主动公开信息7条。</w:t>
      </w:r>
    </w:p>
    <w:p>
      <w:pPr>
        <w:keepNext w:val="0"/>
        <w:keepLines w:val="0"/>
        <w:pageBreakBefore w:val="0"/>
        <w:kinsoku/>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i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i w:val="0"/>
          <w:caps w:val="0"/>
          <w:color w:val="000000"/>
          <w:spacing w:val="0"/>
          <w:kern w:val="0"/>
          <w:sz w:val="32"/>
          <w:szCs w:val="32"/>
          <w:shd w:val="clear" w:fill="FFFFFF"/>
          <w:lang w:val="en-US" w:eastAsia="zh-CN" w:bidi="ar"/>
        </w:rPr>
        <w:t>政府网站方面，2023年通过政府门户网站公开政府信息通知公告18条，部门信息5条，头条新闻81条，在线访谈9条。</w:t>
      </w:r>
    </w:p>
    <w:p>
      <w:pPr>
        <w:keepNext w:val="0"/>
        <w:keepLines w:val="0"/>
        <w:pageBreakBefore w:val="0"/>
        <w:kinsoku/>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i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i w:val="0"/>
          <w:caps w:val="0"/>
          <w:color w:val="000000"/>
          <w:spacing w:val="0"/>
          <w:kern w:val="0"/>
          <w:sz w:val="32"/>
          <w:szCs w:val="32"/>
          <w:shd w:val="clear" w:fill="FFFFFF"/>
          <w:lang w:val="en-US" w:eastAsia="zh-CN" w:bidi="ar"/>
        </w:rPr>
        <w:t>其他方式方面，2023年通过微信公众号公开各类政府信息2000余条。</w:t>
      </w:r>
    </w:p>
    <w:p>
      <w:pPr>
        <w:keepNext w:val="0"/>
        <w:keepLines w:val="0"/>
        <w:pageBreakBefore w:val="0"/>
        <w:kinsoku/>
        <w:overflowPunct/>
        <w:topLinePunct w:val="0"/>
        <w:autoSpaceDE/>
        <w:autoSpaceDN/>
        <w:bidi w:val="0"/>
        <w:adjustRightInd/>
        <w:snapToGrid/>
        <w:spacing w:line="560" w:lineRule="exact"/>
        <w:ind w:left="0" w:right="0" w:firstLine="420" w:firstLineChars="200"/>
        <w:jc w:val="both"/>
        <w:textAlignment w:val="auto"/>
        <w:rPr>
          <w:rFonts w:hint="eastAsia" w:ascii="仿宋_GB2312" w:hAnsi="仿宋_GB2312" w:eastAsia="仿宋_GB2312" w:cs="仿宋_GB2312"/>
          <w:b w:val="0"/>
          <w:i w:val="0"/>
          <w:caps w:val="0"/>
          <w:color w:val="000000"/>
          <w:spacing w:val="0"/>
          <w:kern w:val="0"/>
          <w:sz w:val="32"/>
          <w:szCs w:val="32"/>
          <w:shd w:val="clear" w:fill="FFFFFF"/>
          <w:lang w:val="en-US" w:eastAsia="zh-CN" w:bidi="ar"/>
        </w:rPr>
      </w:pPr>
      <w:r>
        <w:drawing>
          <wp:anchor distT="0" distB="0" distL="114300" distR="114300" simplePos="0" relativeHeight="251660288" behindDoc="0" locked="0" layoutInCell="1" allowOverlap="1">
            <wp:simplePos x="0" y="0"/>
            <wp:positionH relativeFrom="column">
              <wp:posOffset>347980</wp:posOffset>
            </wp:positionH>
            <wp:positionV relativeFrom="paragraph">
              <wp:posOffset>27305</wp:posOffset>
            </wp:positionV>
            <wp:extent cx="4866005" cy="3335655"/>
            <wp:effectExtent l="0" t="0" r="10795" b="1714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4866005" cy="3335655"/>
                    </a:xfrm>
                    <a:prstGeom prst="rect">
                      <a:avLst/>
                    </a:prstGeom>
                    <a:noFill/>
                    <a:ln>
                      <a:noFill/>
                    </a:ln>
                  </pic:spPr>
                </pic:pic>
              </a:graphicData>
            </a:graphic>
          </wp:anchor>
        </w:drawing>
      </w:r>
    </w:p>
    <w:p>
      <w:pPr>
        <w:keepNext w:val="0"/>
        <w:keepLines w:val="0"/>
        <w:pageBreakBefore w:val="0"/>
        <w:kinsoku/>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i w:val="0"/>
          <w:caps w:val="0"/>
          <w:color w:val="000000"/>
          <w:spacing w:val="0"/>
          <w:kern w:val="0"/>
          <w:sz w:val="32"/>
          <w:szCs w:val="32"/>
          <w:shd w:val="clear" w:fill="FFFFFF"/>
          <w:lang w:val="en-US" w:eastAsia="zh-CN" w:bidi="ar"/>
        </w:rPr>
      </w:pPr>
    </w:p>
    <w:p>
      <w:pPr>
        <w:keepNext w:val="0"/>
        <w:keepLines w:val="0"/>
        <w:pageBreakBefore w:val="0"/>
        <w:kinsoku/>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i w:val="0"/>
          <w:caps w:val="0"/>
          <w:color w:val="000000"/>
          <w:spacing w:val="0"/>
          <w:kern w:val="0"/>
          <w:sz w:val="32"/>
          <w:szCs w:val="32"/>
          <w:shd w:val="clear" w:fill="FFFFFF"/>
          <w:lang w:val="en-US" w:eastAsia="zh-CN" w:bidi="ar"/>
        </w:rPr>
      </w:pPr>
    </w:p>
    <w:p>
      <w:pPr>
        <w:keepNext w:val="0"/>
        <w:keepLines w:val="0"/>
        <w:pageBreakBefore w:val="0"/>
        <w:kinsoku/>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i w:val="0"/>
          <w:caps w:val="0"/>
          <w:color w:val="000000"/>
          <w:spacing w:val="0"/>
          <w:kern w:val="0"/>
          <w:sz w:val="32"/>
          <w:szCs w:val="32"/>
          <w:shd w:val="clear" w:fill="FFFFFF"/>
          <w:lang w:val="en-US" w:eastAsia="zh-CN" w:bidi="ar"/>
        </w:rPr>
      </w:pPr>
    </w:p>
    <w:p>
      <w:pPr>
        <w:keepNext w:val="0"/>
        <w:keepLines w:val="0"/>
        <w:pageBreakBefore w:val="0"/>
        <w:kinsoku/>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i w:val="0"/>
          <w:caps w:val="0"/>
          <w:color w:val="000000"/>
          <w:spacing w:val="0"/>
          <w:kern w:val="0"/>
          <w:sz w:val="32"/>
          <w:szCs w:val="32"/>
          <w:shd w:val="clear" w:fill="FFFFFF"/>
          <w:lang w:val="en-US" w:eastAsia="zh-CN" w:bidi="ar"/>
        </w:rPr>
      </w:pPr>
    </w:p>
    <w:p>
      <w:pPr>
        <w:keepNext w:val="0"/>
        <w:keepLines w:val="0"/>
        <w:pageBreakBefore w:val="0"/>
        <w:kinsoku/>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i w:val="0"/>
          <w:caps w:val="0"/>
          <w:color w:val="000000"/>
          <w:spacing w:val="0"/>
          <w:kern w:val="0"/>
          <w:sz w:val="32"/>
          <w:szCs w:val="32"/>
          <w:shd w:val="clear" w:fill="FFFFFF"/>
          <w:lang w:val="en-US" w:eastAsia="zh-CN" w:bidi="ar"/>
        </w:rPr>
      </w:pPr>
    </w:p>
    <w:p>
      <w:pPr>
        <w:keepNext w:val="0"/>
        <w:keepLines w:val="0"/>
        <w:pageBreakBefore w:val="0"/>
        <w:kinsoku/>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i w:val="0"/>
          <w:caps w:val="0"/>
          <w:color w:val="000000"/>
          <w:spacing w:val="0"/>
          <w:kern w:val="0"/>
          <w:sz w:val="32"/>
          <w:szCs w:val="32"/>
          <w:shd w:val="clear" w:fill="FFFFFF"/>
          <w:lang w:val="en-US" w:eastAsia="zh-CN" w:bidi="ar"/>
        </w:rPr>
      </w:pPr>
    </w:p>
    <w:p>
      <w:pPr>
        <w:keepNext w:val="0"/>
        <w:keepLines w:val="0"/>
        <w:pageBreakBefore w:val="0"/>
        <w:kinsoku/>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i w:val="0"/>
          <w:caps w:val="0"/>
          <w:color w:val="000000"/>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Style w:val="6"/>
          <w:rFonts w:hint="eastAsia" w:ascii="楷体_GB2312" w:hAnsi="楷体_GB2312" w:eastAsia="楷体_GB2312" w:cs="楷体_GB2312"/>
          <w:i w:val="0"/>
          <w:caps w:val="0"/>
          <w:color w:val="000000"/>
          <w:spacing w:val="0"/>
          <w:kern w:val="0"/>
          <w:sz w:val="32"/>
          <w:szCs w:val="32"/>
          <w:shd w:val="clear" w:fill="FFFFFF"/>
          <w:lang w:val="en-US" w:eastAsia="zh-CN" w:bidi="ar"/>
        </w:rPr>
      </w:pPr>
      <w:r>
        <w:rPr>
          <w:rStyle w:val="6"/>
          <w:rFonts w:hint="eastAsia" w:ascii="楷体_GB2312" w:hAnsi="楷体_GB2312" w:eastAsia="楷体_GB2312" w:cs="楷体_GB2312"/>
          <w:i w:val="0"/>
          <w:caps w:val="0"/>
          <w:color w:val="000000"/>
          <w:spacing w:val="0"/>
          <w:kern w:val="0"/>
          <w:sz w:val="32"/>
          <w:szCs w:val="32"/>
          <w:shd w:val="clear" w:fill="FFFFFF"/>
          <w:lang w:val="en-US" w:eastAsia="zh-CN" w:bidi="ar"/>
        </w:rPr>
        <w:t>（二）依申请公开办理情况</w:t>
      </w:r>
    </w:p>
    <w:p>
      <w:pPr>
        <w:keepNext w:val="0"/>
        <w:keepLines w:val="0"/>
        <w:pageBreakBefore w:val="0"/>
        <w:kinsoku/>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i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i w:val="0"/>
          <w:caps w:val="0"/>
          <w:color w:val="000000"/>
          <w:spacing w:val="0"/>
          <w:kern w:val="0"/>
          <w:sz w:val="32"/>
          <w:szCs w:val="32"/>
          <w:shd w:val="clear" w:fill="FFFFFF"/>
          <w:lang w:val="en-US" w:eastAsia="zh-CN" w:bidi="ar"/>
        </w:rPr>
        <w:t>1.收到和处理政府信息公开申请情况。</w:t>
      </w:r>
    </w:p>
    <w:p>
      <w:pPr>
        <w:keepNext w:val="0"/>
        <w:keepLines w:val="0"/>
        <w:pageBreakBefore w:val="0"/>
        <w:kinsoku/>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i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i w:val="0"/>
          <w:caps w:val="0"/>
          <w:color w:val="000000"/>
          <w:spacing w:val="0"/>
          <w:kern w:val="0"/>
          <w:sz w:val="32"/>
          <w:szCs w:val="32"/>
          <w:shd w:val="clear" w:fill="FFFFFF"/>
          <w:lang w:val="en-US" w:eastAsia="zh-CN" w:bidi="ar"/>
        </w:rPr>
        <w:t>2023年枣庄高新区党群工作部未收到依申请公开件，处理其他依申请公开0件，回复市政务公开办公室协查函0件。</w:t>
      </w:r>
    </w:p>
    <w:p>
      <w:pPr>
        <w:keepNext w:val="0"/>
        <w:keepLines w:val="0"/>
        <w:pageBreakBefore w:val="0"/>
        <w:kinsoku/>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i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i w:val="0"/>
          <w:caps w:val="0"/>
          <w:color w:val="000000"/>
          <w:spacing w:val="0"/>
          <w:kern w:val="0"/>
          <w:sz w:val="32"/>
          <w:szCs w:val="32"/>
          <w:shd w:val="clear" w:fill="FFFFFF"/>
          <w:lang w:val="en-US" w:eastAsia="zh-CN" w:bidi="ar"/>
        </w:rPr>
        <w:t>根据财政部、国家发展改革委联合印发的《关于清理规范一批行政事业性收费有关政策的通知》规定，本年度依申请公开政府信息未收取任何费用，包括检索费、复制费（含案卷材料复制费）、邮寄费。</w:t>
      </w:r>
    </w:p>
    <w:p>
      <w:pPr>
        <w:keepNext w:val="0"/>
        <w:keepLines w:val="0"/>
        <w:pageBreakBefore w:val="0"/>
        <w:kinsoku/>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i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i w:val="0"/>
          <w:caps w:val="0"/>
          <w:color w:val="000000"/>
          <w:spacing w:val="0"/>
          <w:kern w:val="0"/>
          <w:sz w:val="32"/>
          <w:szCs w:val="32"/>
          <w:shd w:val="clear" w:fill="FFFFFF"/>
          <w:lang w:val="en-US" w:eastAsia="zh-CN" w:bidi="ar"/>
        </w:rPr>
        <w:t>2.政府信息公开行政复议、行政诉讼情况。</w:t>
      </w:r>
    </w:p>
    <w:p>
      <w:pPr>
        <w:keepNext w:val="0"/>
        <w:keepLines w:val="0"/>
        <w:pageBreakBefore w:val="0"/>
        <w:kinsoku/>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i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i w:val="0"/>
          <w:caps w:val="0"/>
          <w:color w:val="000000"/>
          <w:spacing w:val="0"/>
          <w:kern w:val="0"/>
          <w:sz w:val="32"/>
          <w:szCs w:val="32"/>
          <w:shd w:val="clear" w:fill="FFFFFF"/>
          <w:lang w:val="en-US" w:eastAsia="zh-CN" w:bidi="ar"/>
        </w:rPr>
        <w:t>2023年，因政府信息公开被申请行政复议0件，因公民、法人和其他组织认为行政机关政府信息公开工作具体行政行为侵犯其合法权益，提起行政诉讼0件。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Style w:val="6"/>
          <w:rFonts w:hint="eastAsia" w:ascii="楷体_GB2312" w:hAnsi="楷体_GB2312" w:eastAsia="楷体_GB2312" w:cs="楷体_GB2312"/>
          <w:i w:val="0"/>
          <w:caps w:val="0"/>
          <w:color w:val="000000"/>
          <w:spacing w:val="0"/>
          <w:kern w:val="0"/>
          <w:sz w:val="32"/>
          <w:szCs w:val="32"/>
          <w:shd w:val="clear" w:fill="FFFFFF"/>
          <w:lang w:val="en-US" w:eastAsia="zh-CN" w:bidi="ar"/>
        </w:rPr>
      </w:pPr>
      <w:r>
        <w:rPr>
          <w:rStyle w:val="6"/>
          <w:rFonts w:hint="eastAsia" w:ascii="楷体_GB2312" w:hAnsi="楷体_GB2312" w:eastAsia="楷体_GB2312" w:cs="楷体_GB2312"/>
          <w:i w:val="0"/>
          <w:caps w:val="0"/>
          <w:color w:val="000000"/>
          <w:spacing w:val="0"/>
          <w:kern w:val="0"/>
          <w:sz w:val="32"/>
          <w:szCs w:val="32"/>
          <w:shd w:val="clear" w:fill="FFFFFF"/>
          <w:lang w:val="en-US" w:eastAsia="zh-CN" w:bidi="ar"/>
        </w:rPr>
        <w:t>（三）政府信息管理</w:t>
      </w:r>
    </w:p>
    <w:p>
      <w:pPr>
        <w:keepNext w:val="0"/>
        <w:keepLines w:val="0"/>
        <w:pageBreakBefore w:val="0"/>
        <w:kinsoku/>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i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i w:val="0"/>
          <w:caps w:val="0"/>
          <w:color w:val="000000"/>
          <w:spacing w:val="0"/>
          <w:kern w:val="0"/>
          <w:sz w:val="32"/>
          <w:szCs w:val="32"/>
          <w:shd w:val="clear" w:fill="FFFFFF"/>
          <w:lang w:val="en-US" w:eastAsia="zh-CN" w:bidi="ar"/>
        </w:rPr>
        <w:t>按照法定时限及时发布并实时更新法定主动公开内容。明确责任，部门分管政府信息公开工作的领导人员是第一责任人，各行政机关政府信息公开工作机构是法定责任主体，负责推进协调政府信息公开平台建设和管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Style w:val="6"/>
          <w:rFonts w:hint="eastAsia" w:ascii="楷体_GB2312" w:hAnsi="楷体_GB2312" w:eastAsia="楷体_GB2312" w:cs="楷体_GB2312"/>
          <w:i w:val="0"/>
          <w:caps w:val="0"/>
          <w:color w:val="000000"/>
          <w:spacing w:val="0"/>
          <w:kern w:val="0"/>
          <w:sz w:val="32"/>
          <w:szCs w:val="32"/>
          <w:shd w:val="clear" w:fill="FFFFFF"/>
          <w:lang w:val="en-US" w:eastAsia="zh-CN" w:bidi="ar"/>
        </w:rPr>
      </w:pPr>
      <w:r>
        <w:rPr>
          <w:rStyle w:val="6"/>
          <w:rFonts w:hint="eastAsia" w:ascii="楷体_GB2312" w:hAnsi="楷体_GB2312" w:eastAsia="楷体_GB2312" w:cs="楷体_GB2312"/>
          <w:i w:val="0"/>
          <w:caps w:val="0"/>
          <w:color w:val="000000"/>
          <w:spacing w:val="0"/>
          <w:kern w:val="0"/>
          <w:sz w:val="32"/>
          <w:szCs w:val="32"/>
          <w:shd w:val="clear" w:fill="FFFFFF"/>
          <w:lang w:val="en-US" w:eastAsia="zh-CN" w:bidi="ar"/>
        </w:rPr>
        <w:t>（四）政府信息公开平台建设</w:t>
      </w:r>
    </w:p>
    <w:p>
      <w:pPr>
        <w:keepNext w:val="0"/>
        <w:keepLines w:val="0"/>
        <w:pageBreakBefore w:val="0"/>
        <w:kinsoku/>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i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i w:val="0"/>
          <w:caps w:val="0"/>
          <w:color w:val="000000"/>
          <w:spacing w:val="0"/>
          <w:kern w:val="0"/>
          <w:sz w:val="32"/>
          <w:szCs w:val="32"/>
          <w:shd w:val="clear" w:fill="FFFFFF"/>
          <w:lang w:val="en-US" w:eastAsia="zh-CN" w:bidi="ar"/>
        </w:rPr>
        <w:t>一是信息公开专栏，在门户网站信息公开发布机构职能等信息，方便群众浏览、知晓；二是维护微信公众号等政务新媒体更新等。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jc w:val="left"/>
        <w:textAlignment w:val="auto"/>
        <w:rPr>
          <w:rStyle w:val="6"/>
          <w:rFonts w:hint="eastAsia" w:ascii="楷体_GB2312" w:hAnsi="楷体_GB2312" w:eastAsia="楷体_GB2312" w:cs="楷体_GB2312"/>
          <w:i w:val="0"/>
          <w:caps w:val="0"/>
          <w:color w:val="000000"/>
          <w:spacing w:val="0"/>
          <w:kern w:val="0"/>
          <w:sz w:val="32"/>
          <w:szCs w:val="32"/>
          <w:shd w:val="clear" w:fill="FFFFFF"/>
          <w:lang w:val="en-US" w:eastAsia="zh-CN" w:bidi="ar"/>
        </w:rPr>
      </w:pPr>
      <w:r>
        <w:rPr>
          <w:rStyle w:val="6"/>
          <w:rFonts w:hint="eastAsia" w:ascii="楷体_GB2312" w:hAnsi="楷体_GB2312" w:eastAsia="楷体_GB2312" w:cs="楷体_GB2312"/>
          <w:i w:val="0"/>
          <w:caps w:val="0"/>
          <w:color w:val="000000"/>
          <w:spacing w:val="0"/>
          <w:kern w:val="0"/>
          <w:sz w:val="32"/>
          <w:szCs w:val="32"/>
          <w:shd w:val="clear" w:fill="FFFFFF"/>
          <w:lang w:val="en-US" w:eastAsia="zh-CN" w:bidi="ar"/>
        </w:rPr>
        <w:t>（五）监督保障</w:t>
      </w:r>
    </w:p>
    <w:p>
      <w:pPr>
        <w:keepNext w:val="0"/>
        <w:keepLines w:val="0"/>
        <w:pageBreakBefore w:val="0"/>
        <w:kinsoku/>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i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i w:val="0"/>
          <w:caps w:val="0"/>
          <w:color w:val="000000"/>
          <w:spacing w:val="0"/>
          <w:kern w:val="0"/>
          <w:sz w:val="32"/>
          <w:szCs w:val="32"/>
          <w:shd w:val="clear" w:fill="FFFFFF"/>
          <w:lang w:val="en-US" w:eastAsia="zh-CN" w:bidi="ar"/>
        </w:rPr>
        <w:t>不断强化监督管理机制，积极落实政务公开责任制和目标管理制。</w:t>
      </w:r>
    </w:p>
    <w:p>
      <w:pPr>
        <w:pStyle w:val="3"/>
        <w:keepNext w:val="0"/>
        <w:keepLines w:val="0"/>
        <w:pageBreakBefore w:val="0"/>
        <w:widowControl/>
        <w:suppressLineNumbers w:val="0"/>
        <w:kinsoku/>
        <w:overflowPunct/>
        <w:topLinePunct w:val="0"/>
        <w:autoSpaceDE/>
        <w:autoSpaceDN/>
        <w:bidi w:val="0"/>
        <w:adjustRightInd/>
        <w:snapToGrid/>
        <w:spacing w:beforeAutospacing="0" w:line="580" w:lineRule="exact"/>
        <w:ind w:left="0" w:firstLine="645"/>
        <w:textAlignment w:val="auto"/>
        <w:rPr>
          <w:color w:val="000000"/>
        </w:rPr>
      </w:pPr>
      <w:r>
        <w:rPr>
          <w:rFonts w:hint="eastAsia" w:ascii="黑体" w:hAnsi="宋体" w:eastAsia="黑体" w:cs="黑体"/>
          <w:color w:val="000000"/>
          <w:spacing w:val="0"/>
          <w:sz w:val="31"/>
          <w:szCs w:val="31"/>
        </w:rPr>
        <w:t>二、主动公开政府信息情况</w:t>
      </w:r>
    </w:p>
    <w:tbl>
      <w:tblPr>
        <w:tblStyle w:val="4"/>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2955"/>
        <w:gridCol w:w="1290"/>
        <w:gridCol w:w="1335"/>
        <w:gridCol w:w="255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第二十条第（一）项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信息内容</w:t>
            </w:r>
          </w:p>
        </w:tc>
        <w:tc>
          <w:tcPr>
            <w:tcW w:w="129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本年制</w:t>
            </w:r>
          </w:p>
          <w:p>
            <w:pPr>
              <w:jc w:val="center"/>
              <w:rPr>
                <w:rFonts w:hint="eastAsia" w:ascii="黑体" w:hAnsi="黑体" w:eastAsia="黑体" w:cs="黑体"/>
                <w:sz w:val="24"/>
                <w:szCs w:val="24"/>
              </w:rPr>
            </w:pPr>
            <w:r>
              <w:rPr>
                <w:rFonts w:hint="eastAsia" w:ascii="黑体" w:hAnsi="黑体" w:eastAsia="黑体" w:cs="黑体"/>
                <w:sz w:val="24"/>
                <w:szCs w:val="24"/>
              </w:rPr>
              <w:t>发件数</w:t>
            </w:r>
          </w:p>
        </w:tc>
        <w:tc>
          <w:tcPr>
            <w:tcW w:w="133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本年废</w:t>
            </w:r>
          </w:p>
          <w:p>
            <w:pPr>
              <w:jc w:val="center"/>
              <w:rPr>
                <w:rFonts w:hint="eastAsia" w:ascii="黑体" w:hAnsi="黑体" w:eastAsia="黑体" w:cs="黑体"/>
                <w:sz w:val="24"/>
                <w:szCs w:val="24"/>
              </w:rPr>
            </w:pPr>
            <w:r>
              <w:rPr>
                <w:rFonts w:hint="eastAsia" w:ascii="黑体" w:hAnsi="黑体" w:eastAsia="黑体" w:cs="黑体"/>
                <w:sz w:val="24"/>
                <w:szCs w:val="24"/>
              </w:rPr>
              <w:t>止件数</w:t>
            </w:r>
          </w:p>
        </w:tc>
        <w:tc>
          <w:tcPr>
            <w:tcW w:w="255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现行有效件数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90" w:hRule="atLeast"/>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规章</w:t>
            </w:r>
          </w:p>
        </w:tc>
        <w:tc>
          <w:tcPr>
            <w:tcW w:w="129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133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0</w:t>
            </w:r>
          </w:p>
        </w:tc>
        <w:tc>
          <w:tcPr>
            <w:tcW w:w="255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行政规范性文件</w:t>
            </w:r>
          </w:p>
        </w:tc>
        <w:tc>
          <w:tcPr>
            <w:tcW w:w="129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133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0</w:t>
            </w:r>
          </w:p>
        </w:tc>
        <w:tc>
          <w:tcPr>
            <w:tcW w:w="255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第二十条第（五）项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信息内容</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行政许可</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jc w:val="center"/>
              <w:rPr>
                <w:rFonts w:hint="eastAsia" w:ascii="黑体" w:hAnsi="黑体" w:eastAsia="黑体" w:cs="黑体"/>
                <w:sz w:val="24"/>
                <w:szCs w:val="24"/>
                <w:lang w:val="en-US" w:eastAsia="zh-CN"/>
              </w:rPr>
            </w:pPr>
            <w:r>
              <w:rPr>
                <w:rFonts w:hint="eastAsia" w:ascii="仿宋_GB2312" w:hAnsi="仿宋_GB2312" w:eastAsia="仿宋_GB2312" w:cs="仿宋_GB2312"/>
                <w:sz w:val="24"/>
                <w:szCs w:val="24"/>
                <w:lang w:val="en-US" w:eastAsia="zh-CN"/>
              </w:rPr>
              <w:t>9010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第二十条第（六）项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信息内容</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行政处罚</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行政强制</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第二十条第（八）项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信息内容</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本年收费金额（单位：万元）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95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jc w:val="center"/>
              <w:rPr>
                <w:rFonts w:hint="eastAsia" w:ascii="黑体" w:hAnsi="黑体" w:eastAsia="黑体" w:cs="黑体"/>
                <w:sz w:val="24"/>
                <w:szCs w:val="24"/>
              </w:rPr>
            </w:pPr>
            <w:r>
              <w:rPr>
                <w:rFonts w:hint="eastAsia" w:ascii="黑体" w:hAnsi="黑体" w:eastAsia="黑体" w:cs="黑体"/>
                <w:sz w:val="24"/>
                <w:szCs w:val="24"/>
              </w:rPr>
              <w:t>行政事业性收费</w:t>
            </w:r>
          </w:p>
        </w:tc>
        <w:tc>
          <w:tcPr>
            <w:tcW w:w="5175"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bl>
    <w:p>
      <w:pPr>
        <w:pStyle w:val="3"/>
        <w:keepNext w:val="0"/>
        <w:keepLines w:val="0"/>
        <w:pageBreakBefore w:val="0"/>
        <w:widowControl/>
        <w:suppressLineNumbers w:val="0"/>
        <w:kinsoku/>
        <w:overflowPunct/>
        <w:topLinePunct w:val="0"/>
        <w:autoSpaceDE/>
        <w:autoSpaceDN/>
        <w:bidi w:val="0"/>
        <w:adjustRightInd/>
        <w:snapToGrid/>
        <w:spacing w:beforeAutospacing="0" w:line="580" w:lineRule="exact"/>
        <w:textAlignment w:val="auto"/>
        <w:rPr>
          <w:rFonts w:hint="eastAsia" w:ascii="黑体" w:hAnsi="宋体" w:eastAsia="黑体" w:cs="黑体"/>
          <w:color w:val="FF0000"/>
          <w:spacing w:val="0"/>
          <w:sz w:val="31"/>
          <w:szCs w:val="31"/>
        </w:rPr>
      </w:pPr>
    </w:p>
    <w:p>
      <w:pPr>
        <w:pStyle w:val="3"/>
        <w:keepNext w:val="0"/>
        <w:keepLines w:val="0"/>
        <w:pageBreakBefore w:val="0"/>
        <w:widowControl/>
        <w:suppressLineNumbers w:val="0"/>
        <w:kinsoku/>
        <w:overflowPunct/>
        <w:topLinePunct w:val="0"/>
        <w:autoSpaceDE/>
        <w:autoSpaceDN/>
        <w:bidi w:val="0"/>
        <w:adjustRightInd/>
        <w:snapToGrid/>
        <w:spacing w:beforeAutospacing="0" w:line="580" w:lineRule="exact"/>
        <w:ind w:left="0" w:firstLine="645"/>
        <w:textAlignment w:val="auto"/>
        <w:rPr>
          <w:color w:val="000000"/>
        </w:rPr>
      </w:pPr>
      <w:r>
        <w:rPr>
          <w:rFonts w:hint="eastAsia" w:ascii="黑体" w:hAnsi="宋体" w:eastAsia="黑体" w:cs="黑体"/>
          <w:color w:val="000000"/>
          <w:spacing w:val="0"/>
          <w:sz w:val="31"/>
          <w:szCs w:val="31"/>
        </w:rPr>
        <w:t>三、收到和处理政府信息公开申请情况</w:t>
      </w:r>
    </w:p>
    <w:tbl>
      <w:tblPr>
        <w:tblStyle w:val="4"/>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630"/>
        <w:gridCol w:w="840"/>
        <w:gridCol w:w="2916"/>
        <w:gridCol w:w="554"/>
        <w:gridCol w:w="570"/>
        <w:gridCol w:w="570"/>
        <w:gridCol w:w="734"/>
        <w:gridCol w:w="704"/>
        <w:gridCol w:w="570"/>
        <w:gridCol w:w="85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20" w:hRule="atLeast"/>
          <w:jc w:val="center"/>
        </w:trPr>
        <w:tc>
          <w:tcPr>
            <w:tcW w:w="4110" w:type="dxa"/>
            <w:gridSpan w:val="3"/>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line="580" w:lineRule="exact"/>
              <w:jc w:val="center"/>
              <w:textAlignment w:val="auto"/>
            </w:pPr>
            <w:r>
              <w:rPr>
                <w:rFonts w:hint="eastAsia" w:ascii="楷体" w:hAnsi="楷体" w:eastAsia="楷体" w:cs="楷体"/>
                <w:sz w:val="21"/>
                <w:szCs w:val="21"/>
              </w:rPr>
              <w:t>（本列数据的勾稽关系为：第一项加第二项之和，等于第三项加第四项之和）</w:t>
            </w:r>
          </w:p>
        </w:tc>
        <w:tc>
          <w:tcPr>
            <w:tcW w:w="4545" w:type="dxa"/>
            <w:gridSpan w:val="7"/>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r>
              <w:rPr>
                <w:rFonts w:hint="eastAsia" w:ascii="黑体" w:hAnsi="黑体" w:eastAsia="黑体" w:cs="黑体"/>
              </w:rPr>
              <w:t>申请人情况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20" w:hRule="atLeast"/>
          <w:jc w:val="center"/>
        </w:trPr>
        <w:tc>
          <w:tcPr>
            <w:tcW w:w="4110" w:type="dxa"/>
            <w:gridSpan w:val="3"/>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sz w:val="24"/>
                <w:szCs w:val="24"/>
              </w:rPr>
            </w:pPr>
          </w:p>
        </w:tc>
        <w:tc>
          <w:tcPr>
            <w:tcW w:w="55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r>
              <w:rPr>
                <w:rFonts w:hint="eastAsia" w:ascii="黑体" w:hAnsi="黑体" w:eastAsia="黑体" w:cs="黑体"/>
              </w:rPr>
              <w:t>自然人</w:t>
            </w:r>
          </w:p>
        </w:tc>
        <w:tc>
          <w:tcPr>
            <w:tcW w:w="3135" w:type="dxa"/>
            <w:gridSpan w:val="5"/>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r>
              <w:rPr>
                <w:rFonts w:hint="eastAsia" w:ascii="黑体" w:hAnsi="黑体" w:eastAsia="黑体" w:cs="黑体"/>
              </w:rPr>
              <w:t>法人或其他组织</w:t>
            </w:r>
          </w:p>
        </w:tc>
        <w:tc>
          <w:tcPr>
            <w:tcW w:w="85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r>
              <w:rPr>
                <w:rFonts w:hint="eastAsia" w:ascii="黑体" w:hAnsi="黑体" w:eastAsia="黑体" w:cs="黑体"/>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25" w:hRule="atLeast"/>
          <w:jc w:val="center"/>
        </w:trPr>
        <w:tc>
          <w:tcPr>
            <w:tcW w:w="4110" w:type="dxa"/>
            <w:gridSpan w:val="3"/>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sz w:val="24"/>
                <w:szCs w:val="24"/>
              </w:rPr>
            </w:pPr>
          </w:p>
        </w:tc>
        <w:tc>
          <w:tcPr>
            <w:tcW w:w="55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r>
              <w:rPr>
                <w:rFonts w:hint="eastAsia" w:ascii="黑体" w:hAnsi="黑体" w:eastAsia="黑体" w:cs="黑体"/>
              </w:rPr>
              <w:t>商业企业</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r>
              <w:rPr>
                <w:rFonts w:hint="eastAsia" w:ascii="黑体" w:hAnsi="黑体" w:eastAsia="黑体" w:cs="黑体"/>
              </w:rPr>
              <w:t>科研机构</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r>
              <w:rPr>
                <w:rFonts w:hint="eastAsia" w:ascii="黑体" w:hAnsi="黑体" w:eastAsia="黑体" w:cs="黑体"/>
              </w:rPr>
              <w:t>社会公益组织</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r>
              <w:rPr>
                <w:rFonts w:hint="eastAsia" w:ascii="黑体" w:hAnsi="黑体" w:eastAsia="黑体" w:cs="黑体"/>
              </w:rPr>
              <w:t>法律服务机构</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r>
              <w:rPr>
                <w:rFonts w:hint="eastAsia" w:ascii="黑体" w:hAnsi="黑体" w:eastAsia="黑体" w:cs="黑体"/>
              </w:rPr>
              <w:t>其他</w:t>
            </w:r>
          </w:p>
        </w:tc>
        <w:tc>
          <w:tcPr>
            <w:tcW w:w="85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595" w:hRule="atLeast"/>
          <w:jc w:val="center"/>
        </w:trPr>
        <w:tc>
          <w:tcPr>
            <w:tcW w:w="4110" w:type="dxa"/>
            <w:gridSpan w:val="3"/>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r>
              <w:rPr>
                <w:rFonts w:hint="eastAsia" w:ascii="黑体" w:hAnsi="黑体" w:eastAsia="黑体" w:cs="黑体"/>
              </w:rPr>
              <w:t>一、</w:t>
            </w:r>
            <w:bookmarkStart w:id="0" w:name="_Hlk66973412"/>
            <w:r>
              <w:rPr>
                <w:rFonts w:hint="eastAsia" w:ascii="黑体" w:hAnsi="黑体" w:eastAsia="黑体" w:cs="黑体"/>
              </w:rPr>
              <w:t>本年新收政府信息公开申请数量</w:t>
            </w:r>
            <w:bookmarkEnd w:id="0"/>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rPr>
                <w:rFonts w:hint="default" w:eastAsia="宋体"/>
                <w:lang w:val="en-US" w:eastAsia="zh-CN"/>
              </w:rPr>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rPr>
                <w:rFonts w:hint="default" w:eastAsia="宋体"/>
                <w:lang w:val="en-US" w:eastAsia="zh-CN"/>
              </w:rPr>
            </w:pPr>
            <w:r>
              <w:rPr>
                <w:rFonts w:hint="eastAsia" w:ascii="仿宋_GB2312" w:hAnsi="sans-serif"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15" w:hRule="atLeast"/>
          <w:jc w:val="center"/>
        </w:trPr>
        <w:tc>
          <w:tcPr>
            <w:tcW w:w="4110" w:type="dxa"/>
            <w:gridSpan w:val="3"/>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r>
              <w:rPr>
                <w:rFonts w:hint="eastAsia" w:ascii="黑体" w:hAnsi="黑体" w:eastAsia="黑体" w:cs="黑体"/>
              </w:rPr>
              <w:t>二、上年结转政府信息公开申请数量</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r>
              <w:rPr>
                <w:rFonts w:hint="eastAsia" w:ascii="黑体" w:hAnsi="黑体" w:eastAsia="黑体" w:cs="黑体"/>
              </w:rPr>
              <w:t>三、本年度办理结果</w:t>
            </w:r>
          </w:p>
        </w:tc>
        <w:tc>
          <w:tcPr>
            <w:tcW w:w="3720" w:type="dxa"/>
            <w:gridSpan w:val="2"/>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r>
              <w:rPr>
                <w:rFonts w:hint="eastAsia" w:ascii="黑体" w:hAnsi="黑体" w:eastAsia="黑体" w:cs="黑体"/>
              </w:rPr>
              <w:t>（一）予以公开</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rPr>
                <w:rFonts w:hint="eastAsia" w:eastAsia="宋体"/>
                <w:lang w:val="en-US" w:eastAsia="zh-CN"/>
              </w:rPr>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rPr>
                <w:rFonts w:hint="eastAsia" w:eastAsia="宋体"/>
                <w:lang w:val="en-US" w:eastAsia="zh-CN"/>
              </w:rPr>
            </w:pPr>
            <w:r>
              <w:rPr>
                <w:rFonts w:hint="eastAsia" w:ascii="仿宋_GB2312" w:hAnsi="sans-serif"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p>
        </w:tc>
        <w:tc>
          <w:tcPr>
            <w:tcW w:w="3720" w:type="dxa"/>
            <w:gridSpan w:val="2"/>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r>
              <w:rPr>
                <w:rFonts w:hint="eastAsia" w:ascii="黑体" w:hAnsi="黑体" w:eastAsia="黑体" w:cs="黑体"/>
              </w:rPr>
              <w:t>（二）部分公开（</w:t>
            </w:r>
            <w:bookmarkStart w:id="1" w:name="_Hlk66973981"/>
            <w:r>
              <w:rPr>
                <w:rFonts w:hint="eastAsia" w:ascii="黑体" w:hAnsi="黑体" w:eastAsia="黑体" w:cs="黑体"/>
              </w:rPr>
              <w:t>区分处理的，只计这一情形，不计其他情形</w:t>
            </w:r>
            <w:bookmarkEnd w:id="1"/>
            <w:r>
              <w:rPr>
                <w:rFonts w:hint="eastAsia" w:ascii="黑体" w:hAnsi="黑体" w:eastAsia="黑体" w:cs="黑体"/>
              </w:rPr>
              <w:t>）</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rPr>
                <w:rFonts w:hint="eastAsia" w:eastAsia="宋体"/>
                <w:lang w:eastAsia="zh-CN"/>
              </w:rPr>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rPr>
                <w:rFonts w:hint="eastAsia" w:eastAsia="宋体"/>
                <w:lang w:eastAsia="zh-CN"/>
              </w:rPr>
            </w:pPr>
            <w:r>
              <w:rPr>
                <w:rFonts w:hint="eastAsia" w:ascii="仿宋_GB2312" w:hAnsi="sans-serif"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p>
        </w:tc>
        <w:tc>
          <w:tcPr>
            <w:tcW w:w="79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r>
              <w:rPr>
                <w:rFonts w:hint="eastAsia" w:ascii="黑体" w:hAnsi="黑体" w:eastAsia="黑体" w:cs="黑体"/>
              </w:rPr>
              <w:t>（三）不予公开</w:t>
            </w: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1.属于国家秘密</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2.</w:t>
            </w:r>
            <w:bookmarkStart w:id="2" w:name="_Hlk66974104"/>
            <w:r>
              <w:rPr>
                <w:rFonts w:hint="eastAsia" w:ascii="仿宋_GB2312" w:hAnsi="仿宋_GB2312" w:eastAsia="仿宋_GB2312" w:cs="仿宋_GB2312"/>
              </w:rPr>
              <w:t>其他法律行政法规禁止公开</w:t>
            </w:r>
            <w:bookmarkEnd w:id="2"/>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3.危及“三安全一稳定”</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4.</w:t>
            </w:r>
            <w:bookmarkStart w:id="3" w:name="_Hlk66974290"/>
            <w:r>
              <w:rPr>
                <w:rFonts w:hint="eastAsia" w:ascii="仿宋_GB2312" w:hAnsi="仿宋_GB2312" w:eastAsia="仿宋_GB2312" w:cs="仿宋_GB2312"/>
              </w:rPr>
              <w:t>保护第三方合法权益</w:t>
            </w:r>
            <w:bookmarkEnd w:id="3"/>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rPr>
                <w:rFonts w:hint="eastAsia" w:eastAsia="宋体"/>
                <w:lang w:eastAsia="zh-CN"/>
              </w:rPr>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rPr>
                <w:rFonts w:hint="eastAsia" w:eastAsia="宋体"/>
                <w:lang w:eastAsia="zh-CN"/>
              </w:rPr>
            </w:pPr>
            <w:r>
              <w:rPr>
                <w:rFonts w:hint="eastAsia" w:ascii="仿宋_GB2312" w:hAnsi="sans-serif"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5.属于三类内部事务信息</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6.</w:t>
            </w:r>
            <w:bookmarkStart w:id="4" w:name="_Hlk66974555"/>
            <w:r>
              <w:rPr>
                <w:rFonts w:hint="eastAsia" w:ascii="仿宋_GB2312" w:hAnsi="仿宋_GB2312" w:eastAsia="仿宋_GB2312" w:cs="仿宋_GB2312"/>
              </w:rPr>
              <w:t>属于四类过程性信息</w:t>
            </w:r>
            <w:bookmarkEnd w:id="4"/>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rPr>
                <w:rFonts w:hint="eastAsia" w:eastAsia="宋体"/>
                <w:lang w:eastAsia="zh-CN"/>
              </w:rPr>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rPr>
                <w:rFonts w:hint="eastAsia" w:eastAsia="宋体"/>
                <w:lang w:eastAsia="zh-CN"/>
              </w:rPr>
            </w:pPr>
            <w:r>
              <w:rPr>
                <w:rFonts w:hint="eastAsia" w:ascii="仿宋_GB2312" w:hAnsi="sans-serif"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7.属于行政执法案卷</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8.</w:t>
            </w:r>
            <w:bookmarkStart w:id="5" w:name="_Hlk66975211"/>
            <w:r>
              <w:rPr>
                <w:rFonts w:hint="eastAsia" w:ascii="仿宋_GB2312" w:hAnsi="仿宋_GB2312" w:eastAsia="仿宋_GB2312" w:cs="仿宋_GB2312"/>
              </w:rPr>
              <w:t>属于行政查询事项</w:t>
            </w:r>
            <w:bookmarkEnd w:id="5"/>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p>
        </w:tc>
        <w:tc>
          <w:tcPr>
            <w:tcW w:w="79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r>
              <w:rPr>
                <w:rFonts w:hint="eastAsia" w:ascii="黑体" w:hAnsi="黑体" w:eastAsia="黑体" w:cs="黑体"/>
              </w:rPr>
              <w:t>（四）无法提供</w:t>
            </w: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1.本机关不掌握相关政府信息</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rPr>
                <w:rFonts w:hint="default" w:eastAsia="宋体"/>
                <w:lang w:val="en-US" w:eastAsia="zh-CN"/>
              </w:rPr>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rPr>
                <w:rFonts w:hint="default" w:eastAsia="宋体"/>
                <w:lang w:val="en-US" w:eastAsia="zh-CN"/>
              </w:rPr>
            </w:pPr>
            <w:r>
              <w:rPr>
                <w:rFonts w:hint="eastAsia" w:ascii="仿宋_GB2312" w:hAnsi="sans-serif"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2.</w:t>
            </w:r>
            <w:bookmarkStart w:id="6" w:name="_Hlk66975392"/>
            <w:r>
              <w:rPr>
                <w:rFonts w:hint="eastAsia" w:ascii="仿宋_GB2312" w:hAnsi="仿宋_GB2312" w:eastAsia="仿宋_GB2312" w:cs="仿宋_GB2312"/>
              </w:rPr>
              <w:t>没有现成信息需要另行制作</w:t>
            </w:r>
            <w:bookmarkEnd w:id="6"/>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3.</w:t>
            </w:r>
            <w:bookmarkStart w:id="7" w:name="_Hlk66975466"/>
            <w:r>
              <w:rPr>
                <w:rFonts w:hint="eastAsia" w:ascii="仿宋_GB2312" w:hAnsi="仿宋_GB2312" w:eastAsia="仿宋_GB2312" w:cs="仿宋_GB2312"/>
              </w:rPr>
              <w:t>补正后申请内容仍不明确</w:t>
            </w:r>
            <w:bookmarkEnd w:id="7"/>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p>
        </w:tc>
        <w:tc>
          <w:tcPr>
            <w:tcW w:w="79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r>
              <w:rPr>
                <w:rFonts w:hint="eastAsia" w:ascii="黑体" w:hAnsi="黑体" w:eastAsia="黑体" w:cs="黑体"/>
              </w:rPr>
              <w:t>（五）不予处理</w:t>
            </w: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w:t>
            </w:r>
            <w:bookmarkStart w:id="8" w:name="_Hlk66975537"/>
            <w:r>
              <w:rPr>
                <w:rFonts w:hint="eastAsia" w:ascii="仿宋_GB2312" w:hAnsi="仿宋_GB2312" w:eastAsia="仿宋_GB2312" w:cs="仿宋_GB2312"/>
              </w:rPr>
              <w:t>信访举报投诉类申请</w:t>
            </w:r>
            <w:bookmarkEnd w:id="8"/>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2.重复申请</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3.要求提供公开出版物</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9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4.无正当理由大量反复申请</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rPr>
                <w:rFonts w:hint="eastAsia" w:eastAsiaTheme="minorEastAsia"/>
                <w:lang w:eastAsia="zh-CN"/>
              </w:rPr>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5.要求行政机关确认或重新出具已获取信息</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p>
        </w:tc>
        <w:tc>
          <w:tcPr>
            <w:tcW w:w="79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r>
              <w:rPr>
                <w:rFonts w:hint="eastAsia" w:ascii="黑体" w:hAnsi="黑体" w:eastAsia="黑体" w:cs="黑体"/>
              </w:rPr>
              <w:t>（六）其他处理</w:t>
            </w:r>
          </w:p>
        </w:tc>
        <w:tc>
          <w:tcPr>
            <w:tcW w:w="2925" w:type="dxa"/>
            <w:tcBorders>
              <w:top w:val="single" w:color="auto" w:sz="6" w:space="0"/>
              <w:left w:val="single" w:color="auto" w:sz="6" w:space="0"/>
              <w:bottom w:val="single" w:color="auto" w:sz="6" w:space="0"/>
              <w:right w:val="single" w:color="auto" w:sz="6" w:space="0"/>
            </w:tcBorders>
            <w:noWrap w:val="0"/>
            <w:tcMar>
              <w:left w:w="0" w:type="dxa"/>
              <w:bottom w:w="0" w:type="dxa"/>
              <w:right w:w="0" w:type="dxa"/>
            </w:tcMar>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1.申请人无正当理由逾期不补正、行政机关不再处理其政府信息公开申请</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sz w:val="24"/>
                <w:szCs w:val="24"/>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sz w:val="24"/>
                <w:szCs w:val="24"/>
              </w:rPr>
            </w:pPr>
          </w:p>
        </w:tc>
        <w:tc>
          <w:tcPr>
            <w:tcW w:w="2925" w:type="dxa"/>
            <w:tcBorders>
              <w:top w:val="single" w:color="auto" w:sz="6" w:space="0"/>
              <w:left w:val="single" w:color="auto" w:sz="6" w:space="0"/>
              <w:bottom w:val="single" w:color="auto" w:sz="6" w:space="0"/>
              <w:right w:val="single" w:color="auto" w:sz="6" w:space="0"/>
            </w:tcBorders>
            <w:noWrap w:val="0"/>
            <w:tcMar>
              <w:left w:w="0" w:type="dxa"/>
              <w:bottom w:w="0" w:type="dxa"/>
              <w:right w:w="0" w:type="dxa"/>
            </w:tcMar>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2.申请人逾期未按收费通知要求缴纳费用、行政机关不再处理其政府信息公开申请</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sz w:val="24"/>
                <w:szCs w:val="24"/>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keepNext w:val="0"/>
              <w:keepLines w:val="0"/>
              <w:pageBreakBefore w:val="0"/>
              <w:kinsoku/>
              <w:overflowPunct/>
              <w:topLinePunct w:val="0"/>
              <w:autoSpaceDE/>
              <w:autoSpaceDN/>
              <w:bidi w:val="0"/>
              <w:adjustRightInd/>
              <w:snapToGrid/>
              <w:spacing w:beforeAutospacing="0" w:line="580" w:lineRule="exact"/>
              <w:jc w:val="center"/>
              <w:textAlignment w:val="auto"/>
              <w:rPr>
                <w:rFonts w:hint="default" w:ascii="sans-serif" w:hAnsi="sans-serif" w:eastAsia="sans-serif" w:cs="sans-serif"/>
                <w:sz w:val="24"/>
                <w:szCs w:val="24"/>
              </w:rPr>
            </w:pPr>
          </w:p>
        </w:tc>
        <w:tc>
          <w:tcPr>
            <w:tcW w:w="2925" w:type="dxa"/>
            <w:tcBorders>
              <w:top w:val="single" w:color="auto" w:sz="6" w:space="0"/>
              <w:left w:val="single" w:color="auto" w:sz="6" w:space="0"/>
              <w:bottom w:val="single" w:color="auto" w:sz="6" w:space="0"/>
              <w:right w:val="single" w:color="auto" w:sz="6" w:space="0"/>
            </w:tcBorders>
            <w:noWrap w:val="0"/>
            <w:tcMar>
              <w:left w:w="0" w:type="dxa"/>
              <w:bottom w:w="0" w:type="dxa"/>
              <w:right w:w="0" w:type="dxa"/>
            </w:tcMar>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3.其他</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p>
        </w:tc>
        <w:tc>
          <w:tcPr>
            <w:tcW w:w="3720" w:type="dxa"/>
            <w:gridSpan w:val="2"/>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r>
              <w:rPr>
                <w:rFonts w:hint="eastAsia" w:ascii="黑体" w:hAnsi="黑体" w:eastAsia="黑体" w:cs="黑体"/>
              </w:rPr>
              <w:t>（七）总计</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rPr>
                <w:rFonts w:hint="default" w:eastAsia="宋体"/>
                <w:lang w:val="en-US" w:eastAsia="zh-CN"/>
              </w:rPr>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pPr>
            <w:r>
              <w:rPr>
                <w:rFonts w:hint="eastAsia" w:ascii="仿宋_GB2312" w:hAnsi="sans-serif" w:eastAsia="仿宋_GB2312" w:cs="仿宋_GB2312"/>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rPr>
                <w:rFonts w:hint="default" w:eastAsia="宋体"/>
                <w:lang w:val="en-US" w:eastAsia="zh-CN"/>
              </w:rPr>
            </w:pPr>
            <w:r>
              <w:rPr>
                <w:rFonts w:hint="eastAsia" w:ascii="仿宋_GB2312" w:hAnsi="sans-serif" w:eastAsia="仿宋_GB2312" w:cs="仿宋_GB2312"/>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4110" w:type="dxa"/>
            <w:gridSpan w:val="3"/>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rPr>
            </w:pPr>
            <w:r>
              <w:rPr>
                <w:rFonts w:hint="eastAsia" w:ascii="黑体" w:hAnsi="黑体" w:eastAsia="黑体" w:cs="黑体"/>
              </w:rPr>
              <w:t>四、结转下年度继续办理</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rPr>
                <w:rFonts w:hint="default" w:eastAsia="宋体"/>
                <w:lang w:val="en-US" w:eastAsia="zh-CN"/>
              </w:rPr>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rPr>
                <w:rFonts w:hint="default"/>
                <w:lang w:val="en-US"/>
              </w:rPr>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rPr>
                <w:rFonts w:hint="default"/>
                <w:lang w:val="en-US"/>
              </w:rPr>
            </w:pPr>
            <w:r>
              <w:rPr>
                <w:rFonts w:hint="eastAsia" w:ascii="仿宋_GB2312" w:hAnsi="sans-serif" w:eastAsia="仿宋_GB2312" w:cs="仿宋_GB2312"/>
                <w:sz w:val="21"/>
                <w:szCs w:val="21"/>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rPr>
                <w:rFonts w:hint="default"/>
                <w:lang w:val="en-US"/>
              </w:rPr>
            </w:pPr>
            <w:r>
              <w:rPr>
                <w:rFonts w:hint="eastAsia" w:ascii="仿宋_GB2312" w:hAnsi="sans-serif" w:eastAsia="仿宋_GB2312" w:cs="仿宋_GB2312"/>
                <w:sz w:val="21"/>
                <w:szCs w:val="21"/>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rPr>
                <w:rFonts w:hint="default"/>
                <w:lang w:val="en-US"/>
              </w:rPr>
            </w:pPr>
            <w:r>
              <w:rPr>
                <w:rFonts w:hint="eastAsia" w:ascii="仿宋_GB2312" w:hAnsi="sans-serif" w:eastAsia="仿宋_GB2312" w:cs="仿宋_GB2312"/>
                <w:sz w:val="21"/>
                <w:szCs w:val="21"/>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rPr>
                <w:rFonts w:hint="default"/>
                <w:lang w:val="en-US"/>
              </w:rPr>
            </w:pPr>
            <w:r>
              <w:rPr>
                <w:rFonts w:hint="eastAsia" w:ascii="仿宋_GB2312" w:hAnsi="sans-serif" w:eastAsia="仿宋_GB2312" w:cs="仿宋_GB2312"/>
                <w:sz w:val="21"/>
                <w:szCs w:val="21"/>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rPr>
                <w:rFonts w:hint="default" w:eastAsia="宋体"/>
                <w:lang w:val="en-US" w:eastAsia="zh-CN"/>
              </w:rPr>
            </w:pPr>
            <w:r>
              <w:rPr>
                <w:rFonts w:hint="eastAsia" w:ascii="仿宋_GB2312" w:hAnsi="sans-serif" w:eastAsia="仿宋_GB2312" w:cs="仿宋_GB2312"/>
                <w:sz w:val="21"/>
                <w:szCs w:val="21"/>
              </w:rPr>
              <w:t>0</w:t>
            </w:r>
          </w:p>
        </w:tc>
      </w:tr>
    </w:tbl>
    <w:p>
      <w:pPr>
        <w:pStyle w:val="3"/>
        <w:keepNext w:val="0"/>
        <w:keepLines w:val="0"/>
        <w:pageBreakBefore w:val="0"/>
        <w:widowControl/>
        <w:suppressLineNumbers w:val="0"/>
        <w:kinsoku/>
        <w:overflowPunct/>
        <w:topLinePunct w:val="0"/>
        <w:autoSpaceDE/>
        <w:autoSpaceDN/>
        <w:bidi w:val="0"/>
        <w:adjustRightInd/>
        <w:snapToGrid/>
        <w:spacing w:beforeAutospacing="0" w:line="580" w:lineRule="exact"/>
        <w:ind w:left="0" w:firstLine="645"/>
        <w:textAlignment w:val="auto"/>
        <w:rPr>
          <w:color w:val="000000"/>
        </w:rPr>
      </w:pPr>
      <w:r>
        <w:rPr>
          <w:rFonts w:hint="eastAsia" w:ascii="黑体" w:hAnsi="宋体" w:eastAsia="黑体" w:cs="黑体"/>
          <w:color w:val="000000"/>
          <w:spacing w:val="0"/>
          <w:sz w:val="31"/>
          <w:szCs w:val="31"/>
        </w:rPr>
        <w:t>四、政府信息公开行政复议、行政诉讼情况</w:t>
      </w:r>
    </w:p>
    <w:tbl>
      <w:tblPr>
        <w:tblStyle w:val="4"/>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525"/>
        <w:gridCol w:w="585"/>
        <w:gridCol w:w="615"/>
        <w:gridCol w:w="585"/>
        <w:gridCol w:w="420"/>
        <w:gridCol w:w="555"/>
        <w:gridCol w:w="600"/>
        <w:gridCol w:w="600"/>
        <w:gridCol w:w="600"/>
        <w:gridCol w:w="615"/>
        <w:gridCol w:w="600"/>
        <w:gridCol w:w="600"/>
        <w:gridCol w:w="600"/>
        <w:gridCol w:w="600"/>
        <w:gridCol w:w="63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95" w:hRule="atLeast"/>
          <w:jc w:val="center"/>
        </w:trPr>
        <w:tc>
          <w:tcPr>
            <w:tcW w:w="2730" w:type="dxa"/>
            <w:gridSpan w:val="5"/>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sz w:val="20"/>
                <w:szCs w:val="20"/>
              </w:rPr>
            </w:pPr>
            <w:r>
              <w:rPr>
                <w:rFonts w:hint="eastAsia" w:ascii="黑体" w:hAnsi="黑体" w:eastAsia="黑体" w:cs="黑体"/>
                <w:sz w:val="20"/>
                <w:szCs w:val="20"/>
              </w:rPr>
              <w:t>行政复议</w:t>
            </w:r>
          </w:p>
        </w:tc>
        <w:tc>
          <w:tcPr>
            <w:tcW w:w="6000" w:type="dxa"/>
            <w:gridSpan w:val="10"/>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sz w:val="20"/>
                <w:szCs w:val="20"/>
              </w:rPr>
            </w:pPr>
            <w:r>
              <w:rPr>
                <w:rFonts w:hint="eastAsia" w:ascii="黑体" w:hAnsi="黑体" w:eastAsia="黑体" w:cs="黑体"/>
                <w:sz w:val="20"/>
                <w:szCs w:val="20"/>
              </w:rPr>
              <w:t>行政诉讼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540" w:hRule="atLeast"/>
          <w:jc w:val="center"/>
        </w:trPr>
        <w:tc>
          <w:tcPr>
            <w:tcW w:w="525" w:type="dxa"/>
            <w:vMerge w:val="restart"/>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sz w:val="20"/>
                <w:szCs w:val="20"/>
              </w:rPr>
            </w:pPr>
            <w:r>
              <w:rPr>
                <w:rFonts w:hint="eastAsia" w:ascii="黑体" w:hAnsi="黑体" w:eastAsia="黑体" w:cs="黑体"/>
                <w:sz w:val="20"/>
                <w:szCs w:val="20"/>
              </w:rPr>
              <w:t>结果</w:t>
            </w:r>
          </w:p>
          <w:p>
            <w:pPr>
              <w:jc w:val="center"/>
              <w:rPr>
                <w:rFonts w:hint="eastAsia" w:ascii="黑体" w:hAnsi="黑体" w:eastAsia="黑体" w:cs="黑体"/>
                <w:sz w:val="20"/>
                <w:szCs w:val="20"/>
              </w:rPr>
            </w:pPr>
            <w:r>
              <w:rPr>
                <w:rFonts w:hint="eastAsia" w:ascii="黑体" w:hAnsi="黑体" w:eastAsia="黑体" w:cs="黑体"/>
                <w:sz w:val="20"/>
                <w:szCs w:val="20"/>
              </w:rPr>
              <w:t>维持</w:t>
            </w:r>
          </w:p>
        </w:tc>
        <w:tc>
          <w:tcPr>
            <w:tcW w:w="585" w:type="dxa"/>
            <w:vMerge w:val="restart"/>
            <w:tcBorders>
              <w:top w:val="nil"/>
              <w:left w:val="nil"/>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sz w:val="20"/>
                <w:szCs w:val="20"/>
              </w:rPr>
            </w:pPr>
            <w:r>
              <w:rPr>
                <w:rFonts w:hint="eastAsia" w:ascii="黑体" w:hAnsi="黑体" w:eastAsia="黑体" w:cs="黑体"/>
                <w:sz w:val="20"/>
                <w:szCs w:val="20"/>
              </w:rPr>
              <w:t>结果纠正</w:t>
            </w:r>
          </w:p>
        </w:tc>
        <w:tc>
          <w:tcPr>
            <w:tcW w:w="615"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sz w:val="20"/>
                <w:szCs w:val="20"/>
              </w:rPr>
            </w:pPr>
            <w:r>
              <w:rPr>
                <w:rFonts w:hint="eastAsia" w:ascii="黑体" w:hAnsi="黑体" w:eastAsia="黑体" w:cs="黑体"/>
                <w:sz w:val="20"/>
                <w:szCs w:val="20"/>
              </w:rPr>
              <w:t>其他结果</w:t>
            </w:r>
          </w:p>
        </w:tc>
        <w:tc>
          <w:tcPr>
            <w:tcW w:w="585"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sz w:val="20"/>
                <w:szCs w:val="20"/>
              </w:rPr>
            </w:pPr>
            <w:r>
              <w:rPr>
                <w:rFonts w:hint="eastAsia" w:ascii="黑体" w:hAnsi="黑体" w:eastAsia="黑体" w:cs="黑体"/>
                <w:sz w:val="20"/>
                <w:szCs w:val="20"/>
              </w:rPr>
              <w:t>尚未</w:t>
            </w:r>
          </w:p>
          <w:p>
            <w:pPr>
              <w:jc w:val="center"/>
              <w:rPr>
                <w:rFonts w:hint="eastAsia" w:ascii="黑体" w:hAnsi="黑体" w:eastAsia="黑体" w:cs="黑体"/>
                <w:sz w:val="20"/>
                <w:szCs w:val="20"/>
              </w:rPr>
            </w:pPr>
            <w:r>
              <w:rPr>
                <w:rFonts w:hint="eastAsia" w:ascii="黑体" w:hAnsi="黑体" w:eastAsia="黑体" w:cs="黑体"/>
                <w:sz w:val="20"/>
                <w:szCs w:val="20"/>
              </w:rPr>
              <w:t>审结</w:t>
            </w:r>
          </w:p>
        </w:tc>
        <w:tc>
          <w:tcPr>
            <w:tcW w:w="420"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sz w:val="20"/>
                <w:szCs w:val="20"/>
              </w:rPr>
            </w:pPr>
            <w:r>
              <w:rPr>
                <w:rFonts w:hint="eastAsia" w:ascii="黑体" w:hAnsi="黑体" w:eastAsia="黑体" w:cs="黑体"/>
                <w:sz w:val="20"/>
                <w:szCs w:val="20"/>
              </w:rPr>
              <w:t>总</w:t>
            </w:r>
          </w:p>
          <w:p>
            <w:pPr>
              <w:jc w:val="center"/>
              <w:rPr>
                <w:rFonts w:hint="eastAsia" w:ascii="黑体" w:hAnsi="黑体" w:eastAsia="黑体" w:cs="黑体"/>
                <w:sz w:val="20"/>
                <w:szCs w:val="20"/>
              </w:rPr>
            </w:pPr>
            <w:r>
              <w:rPr>
                <w:rFonts w:hint="eastAsia" w:ascii="黑体" w:hAnsi="黑体" w:eastAsia="黑体" w:cs="黑体"/>
                <w:sz w:val="20"/>
                <w:szCs w:val="20"/>
              </w:rPr>
              <w:t>计</w:t>
            </w:r>
          </w:p>
        </w:tc>
        <w:tc>
          <w:tcPr>
            <w:tcW w:w="2970" w:type="dxa"/>
            <w:gridSpan w:val="5"/>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sz w:val="20"/>
                <w:szCs w:val="20"/>
              </w:rPr>
            </w:pPr>
            <w:r>
              <w:rPr>
                <w:rFonts w:hint="eastAsia" w:ascii="黑体" w:hAnsi="黑体" w:eastAsia="黑体" w:cs="黑体"/>
                <w:sz w:val="20"/>
                <w:szCs w:val="20"/>
              </w:rPr>
              <w:t>未经复议直接起诉</w:t>
            </w:r>
          </w:p>
        </w:tc>
        <w:tc>
          <w:tcPr>
            <w:tcW w:w="3030" w:type="dxa"/>
            <w:gridSpan w:val="5"/>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sz w:val="20"/>
                <w:szCs w:val="20"/>
              </w:rPr>
            </w:pPr>
            <w:bookmarkStart w:id="9" w:name="_Hlk67039688"/>
            <w:r>
              <w:rPr>
                <w:rFonts w:hint="eastAsia" w:ascii="黑体" w:hAnsi="黑体" w:eastAsia="黑体" w:cs="黑体"/>
                <w:sz w:val="20"/>
                <w:szCs w:val="20"/>
              </w:rPr>
              <w:t>复议后起诉</w:t>
            </w:r>
            <w:bookmarkEnd w:id="9"/>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900" w:hRule="atLeast"/>
          <w:jc w:val="center"/>
        </w:trPr>
        <w:tc>
          <w:tcPr>
            <w:tcW w:w="525" w:type="dxa"/>
            <w:vMerge w:val="continue"/>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sz w:val="20"/>
                <w:szCs w:val="20"/>
              </w:rPr>
            </w:pPr>
          </w:p>
        </w:tc>
        <w:tc>
          <w:tcPr>
            <w:tcW w:w="585" w:type="dxa"/>
            <w:vMerge w:val="continue"/>
            <w:tcBorders>
              <w:top w:val="nil"/>
              <w:left w:val="nil"/>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sz w:val="20"/>
                <w:szCs w:val="20"/>
              </w:rPr>
            </w:pPr>
          </w:p>
        </w:tc>
        <w:tc>
          <w:tcPr>
            <w:tcW w:w="615"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sz w:val="20"/>
                <w:szCs w:val="20"/>
              </w:rPr>
            </w:pPr>
          </w:p>
        </w:tc>
        <w:tc>
          <w:tcPr>
            <w:tcW w:w="585"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sz w:val="20"/>
                <w:szCs w:val="20"/>
              </w:rPr>
            </w:pPr>
          </w:p>
        </w:tc>
        <w:tc>
          <w:tcPr>
            <w:tcW w:w="420"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sz w:val="20"/>
                <w:szCs w:val="20"/>
              </w:rPr>
            </w:pPr>
          </w:p>
        </w:tc>
        <w:tc>
          <w:tcPr>
            <w:tcW w:w="555" w:type="dxa"/>
            <w:tcBorders>
              <w:top w:val="nil"/>
              <w:left w:val="nil"/>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sz w:val="20"/>
                <w:szCs w:val="20"/>
              </w:rPr>
            </w:pPr>
            <w:r>
              <w:rPr>
                <w:rFonts w:hint="eastAsia" w:ascii="黑体" w:hAnsi="黑体" w:eastAsia="黑体" w:cs="黑体"/>
                <w:sz w:val="20"/>
                <w:szCs w:val="20"/>
              </w:rPr>
              <w:t>结果维持</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sz w:val="20"/>
                <w:szCs w:val="20"/>
              </w:rPr>
            </w:pPr>
            <w:r>
              <w:rPr>
                <w:rFonts w:hint="eastAsia" w:ascii="黑体" w:hAnsi="黑体" w:eastAsia="黑体" w:cs="黑体"/>
                <w:sz w:val="20"/>
                <w:szCs w:val="20"/>
              </w:rPr>
              <w:t>结果纠正</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sz w:val="20"/>
                <w:szCs w:val="20"/>
              </w:rPr>
            </w:pPr>
            <w:r>
              <w:rPr>
                <w:rFonts w:hint="eastAsia" w:ascii="黑体" w:hAnsi="黑体" w:eastAsia="黑体" w:cs="黑体"/>
                <w:sz w:val="20"/>
                <w:szCs w:val="20"/>
              </w:rPr>
              <w:t>其他</w:t>
            </w:r>
          </w:p>
          <w:p>
            <w:pPr>
              <w:jc w:val="center"/>
              <w:rPr>
                <w:rFonts w:hint="eastAsia" w:ascii="黑体" w:hAnsi="黑体" w:eastAsia="黑体" w:cs="黑体"/>
                <w:sz w:val="20"/>
                <w:szCs w:val="20"/>
              </w:rPr>
            </w:pPr>
            <w:r>
              <w:rPr>
                <w:rFonts w:hint="eastAsia" w:ascii="黑体" w:hAnsi="黑体" w:eastAsia="黑体" w:cs="黑体"/>
                <w:sz w:val="20"/>
                <w:szCs w:val="20"/>
              </w:rPr>
              <w:t>结果</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sz w:val="20"/>
                <w:szCs w:val="20"/>
              </w:rPr>
            </w:pPr>
            <w:r>
              <w:rPr>
                <w:rFonts w:hint="eastAsia" w:ascii="黑体" w:hAnsi="黑体" w:eastAsia="黑体" w:cs="黑体"/>
                <w:sz w:val="20"/>
                <w:szCs w:val="20"/>
              </w:rPr>
              <w:t>尚未</w:t>
            </w:r>
          </w:p>
          <w:p>
            <w:pPr>
              <w:jc w:val="center"/>
              <w:rPr>
                <w:rFonts w:hint="eastAsia" w:ascii="黑体" w:hAnsi="黑体" w:eastAsia="黑体" w:cs="黑体"/>
                <w:sz w:val="20"/>
                <w:szCs w:val="20"/>
              </w:rPr>
            </w:pPr>
            <w:r>
              <w:rPr>
                <w:rFonts w:hint="eastAsia" w:ascii="黑体" w:hAnsi="黑体" w:eastAsia="黑体" w:cs="黑体"/>
                <w:sz w:val="20"/>
                <w:szCs w:val="20"/>
              </w:rPr>
              <w:t>审结</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sz w:val="20"/>
                <w:szCs w:val="20"/>
              </w:rPr>
            </w:pPr>
            <w:r>
              <w:rPr>
                <w:rFonts w:hint="eastAsia" w:ascii="黑体" w:hAnsi="黑体" w:eastAsia="黑体" w:cs="黑体"/>
                <w:sz w:val="20"/>
                <w:szCs w:val="20"/>
              </w:rPr>
              <w:t>总计</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sz w:val="20"/>
                <w:szCs w:val="20"/>
              </w:rPr>
            </w:pPr>
            <w:r>
              <w:rPr>
                <w:rFonts w:hint="eastAsia" w:ascii="黑体" w:hAnsi="黑体" w:eastAsia="黑体" w:cs="黑体"/>
                <w:sz w:val="20"/>
                <w:szCs w:val="20"/>
              </w:rPr>
              <w:t>结果维持</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sz w:val="20"/>
                <w:szCs w:val="20"/>
              </w:rPr>
            </w:pPr>
            <w:r>
              <w:rPr>
                <w:rFonts w:hint="eastAsia" w:ascii="黑体" w:hAnsi="黑体" w:eastAsia="黑体" w:cs="黑体"/>
                <w:sz w:val="20"/>
                <w:szCs w:val="20"/>
              </w:rPr>
              <w:t>结果</w:t>
            </w:r>
          </w:p>
          <w:p>
            <w:pPr>
              <w:jc w:val="center"/>
              <w:rPr>
                <w:rFonts w:hint="eastAsia" w:ascii="黑体" w:hAnsi="黑体" w:eastAsia="黑体" w:cs="黑体"/>
                <w:sz w:val="20"/>
                <w:szCs w:val="20"/>
              </w:rPr>
            </w:pPr>
            <w:r>
              <w:rPr>
                <w:rFonts w:hint="eastAsia" w:ascii="黑体" w:hAnsi="黑体" w:eastAsia="黑体" w:cs="黑体"/>
                <w:sz w:val="20"/>
                <w:szCs w:val="20"/>
              </w:rPr>
              <w:t>纠正</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sz w:val="20"/>
                <w:szCs w:val="20"/>
              </w:rPr>
            </w:pPr>
            <w:r>
              <w:rPr>
                <w:rFonts w:hint="eastAsia" w:ascii="黑体" w:hAnsi="黑体" w:eastAsia="黑体" w:cs="黑体"/>
                <w:sz w:val="20"/>
                <w:szCs w:val="20"/>
              </w:rPr>
              <w:t>其他</w:t>
            </w:r>
          </w:p>
          <w:p>
            <w:pPr>
              <w:jc w:val="center"/>
              <w:rPr>
                <w:rFonts w:hint="eastAsia" w:ascii="黑体" w:hAnsi="黑体" w:eastAsia="黑体" w:cs="黑体"/>
                <w:sz w:val="20"/>
                <w:szCs w:val="20"/>
              </w:rPr>
            </w:pPr>
            <w:r>
              <w:rPr>
                <w:rFonts w:hint="eastAsia" w:ascii="黑体" w:hAnsi="黑体" w:eastAsia="黑体" w:cs="黑体"/>
                <w:sz w:val="20"/>
                <w:szCs w:val="20"/>
              </w:rPr>
              <w:t>结果</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sz w:val="20"/>
                <w:szCs w:val="20"/>
              </w:rPr>
            </w:pPr>
            <w:r>
              <w:rPr>
                <w:rFonts w:hint="eastAsia" w:ascii="黑体" w:hAnsi="黑体" w:eastAsia="黑体" w:cs="黑体"/>
                <w:sz w:val="20"/>
                <w:szCs w:val="20"/>
              </w:rPr>
              <w:t>尚未审结</w:t>
            </w:r>
          </w:p>
        </w:tc>
        <w:tc>
          <w:tcPr>
            <w:tcW w:w="600"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sz w:val="20"/>
                <w:szCs w:val="20"/>
              </w:rPr>
            </w:pPr>
            <w:r>
              <w:rPr>
                <w:rFonts w:hint="eastAsia" w:ascii="黑体" w:hAnsi="黑体" w:eastAsia="黑体" w:cs="黑体"/>
                <w:sz w:val="20"/>
                <w:szCs w:val="20"/>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525" w:type="dxa"/>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rPr>
                <w:rFonts w:hint="eastAsia" w:ascii="黑体" w:hAnsi="黑体" w:eastAsia="黑体" w:cs="黑体"/>
                <w:sz w:val="20"/>
                <w:szCs w:val="20"/>
                <w:lang w:eastAsia="zh-CN"/>
              </w:rPr>
            </w:pPr>
            <w:r>
              <w:rPr>
                <w:rFonts w:hint="eastAsia" w:ascii="仿宋_GB2312" w:hAnsi="sans-serif" w:eastAsia="仿宋_GB2312" w:cs="仿宋_GB2312"/>
                <w:sz w:val="21"/>
                <w:szCs w:val="21"/>
              </w:rPr>
              <w:t>0</w:t>
            </w:r>
          </w:p>
        </w:tc>
        <w:tc>
          <w:tcPr>
            <w:tcW w:w="585" w:type="dxa"/>
            <w:tcBorders>
              <w:top w:val="nil"/>
              <w:left w:val="nil"/>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rPr>
                <w:rFonts w:hint="eastAsia" w:ascii="黑体" w:hAnsi="黑体" w:eastAsia="黑体" w:cs="黑体"/>
                <w:sz w:val="20"/>
                <w:szCs w:val="20"/>
                <w:lang w:eastAsia="zh-CN"/>
              </w:rPr>
            </w:pPr>
            <w:r>
              <w:rPr>
                <w:rFonts w:hint="eastAsia" w:ascii="仿宋_GB2312" w:hAnsi="sans-serif" w:eastAsia="仿宋_GB2312" w:cs="仿宋_GB2312"/>
                <w:sz w:val="21"/>
                <w:szCs w:val="21"/>
              </w:rPr>
              <w:t>0</w:t>
            </w:r>
          </w:p>
        </w:tc>
        <w:tc>
          <w:tcPr>
            <w:tcW w:w="615" w:type="dxa"/>
            <w:tcBorders>
              <w:top w:val="nil"/>
              <w:left w:val="nil"/>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rPr>
                <w:rFonts w:hint="eastAsia" w:ascii="黑体" w:hAnsi="黑体" w:eastAsia="黑体" w:cs="黑体"/>
                <w:sz w:val="20"/>
                <w:szCs w:val="20"/>
                <w:lang w:val="en-US" w:eastAsia="zh-CN"/>
              </w:rPr>
            </w:pPr>
            <w:r>
              <w:rPr>
                <w:rFonts w:hint="eastAsia" w:ascii="仿宋_GB2312" w:hAnsi="sans-serif" w:eastAsia="仿宋_GB2312" w:cs="仿宋_GB2312"/>
                <w:sz w:val="21"/>
                <w:szCs w:val="21"/>
              </w:rPr>
              <w:t>0</w:t>
            </w:r>
          </w:p>
        </w:tc>
        <w:tc>
          <w:tcPr>
            <w:tcW w:w="585" w:type="dxa"/>
            <w:tcBorders>
              <w:top w:val="nil"/>
              <w:left w:val="nil"/>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rPr>
                <w:rFonts w:hint="eastAsia" w:ascii="黑体" w:hAnsi="黑体" w:eastAsia="黑体" w:cs="黑体"/>
                <w:sz w:val="20"/>
                <w:szCs w:val="20"/>
              </w:rPr>
            </w:pPr>
            <w:r>
              <w:rPr>
                <w:rFonts w:hint="eastAsia" w:ascii="仿宋_GB2312" w:hAnsi="sans-serif" w:eastAsia="仿宋_GB2312" w:cs="仿宋_GB2312"/>
                <w:sz w:val="21"/>
                <w:szCs w:val="21"/>
              </w:rPr>
              <w:t>0</w:t>
            </w:r>
            <w:bookmarkStart w:id="10" w:name="_GoBack"/>
            <w:bookmarkEnd w:id="10"/>
          </w:p>
        </w:tc>
        <w:tc>
          <w:tcPr>
            <w:tcW w:w="420" w:type="dxa"/>
            <w:tcBorders>
              <w:top w:val="nil"/>
              <w:left w:val="nil"/>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rPr>
                <w:rFonts w:hint="eastAsia" w:ascii="黑体" w:hAnsi="黑体" w:eastAsia="黑体" w:cs="黑体"/>
                <w:sz w:val="20"/>
                <w:szCs w:val="20"/>
                <w:lang w:eastAsia="zh-CN"/>
              </w:rPr>
            </w:pPr>
            <w:r>
              <w:rPr>
                <w:rFonts w:hint="eastAsia" w:ascii="仿宋_GB2312" w:hAnsi="sans-serif" w:eastAsia="仿宋_GB2312" w:cs="仿宋_GB2312"/>
                <w:sz w:val="21"/>
                <w:szCs w:val="21"/>
              </w:rPr>
              <w:t>0</w:t>
            </w:r>
          </w:p>
        </w:tc>
        <w:tc>
          <w:tcPr>
            <w:tcW w:w="555" w:type="dxa"/>
            <w:tcBorders>
              <w:top w:val="nil"/>
              <w:left w:val="nil"/>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rPr>
                <w:rFonts w:hint="eastAsia" w:ascii="黑体" w:hAnsi="黑体" w:eastAsia="黑体" w:cs="黑体"/>
                <w:sz w:val="20"/>
                <w:szCs w:val="20"/>
              </w:rPr>
            </w:pPr>
            <w:r>
              <w:rPr>
                <w:rFonts w:hint="eastAsia" w:ascii="仿宋_GB2312" w:hAnsi="sans-serif" w:eastAsia="仿宋_GB2312" w:cs="仿宋_GB2312"/>
                <w:sz w:val="21"/>
                <w:szCs w:val="21"/>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pPr>
              <w:pStyle w:val="3"/>
              <w:keepNext w:val="0"/>
              <w:keepLines w:val="0"/>
              <w:pageBreakBefore w:val="0"/>
              <w:widowControl/>
              <w:suppressLineNumbers w:val="0"/>
              <w:kinsoku/>
              <w:wordWrap w:val="0"/>
              <w:overflowPunct/>
              <w:topLinePunct w:val="0"/>
              <w:autoSpaceDE/>
              <w:autoSpaceDN/>
              <w:bidi w:val="0"/>
              <w:adjustRightInd/>
              <w:snapToGrid/>
              <w:spacing w:beforeAutospacing="0" w:after="180" w:afterAutospacing="0" w:line="580" w:lineRule="exact"/>
              <w:ind w:left="0" w:leftChars="0" w:right="0" w:rightChars="0"/>
              <w:jc w:val="center"/>
              <w:textAlignment w:val="auto"/>
              <w:rPr>
                <w:rFonts w:hint="eastAsia" w:ascii="黑体" w:hAnsi="黑体" w:eastAsia="黑体" w:cs="黑体"/>
                <w:sz w:val="20"/>
                <w:szCs w:val="20"/>
              </w:rPr>
            </w:pPr>
            <w:r>
              <w:rPr>
                <w:rFonts w:hint="eastAsia" w:ascii="仿宋_GB2312" w:hAnsi="sans-serif" w:eastAsia="仿宋_GB2312" w:cs="仿宋_GB2312"/>
                <w:sz w:val="21"/>
                <w:szCs w:val="21"/>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sz w:val="20"/>
                <w:szCs w:val="20"/>
              </w:rPr>
            </w:pPr>
            <w:r>
              <w:rPr>
                <w:rFonts w:hint="eastAsia" w:ascii="黑体" w:hAnsi="黑体" w:eastAsia="黑体" w:cs="黑体"/>
                <w:sz w:val="20"/>
                <w:szCs w:val="20"/>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sz w:val="20"/>
                <w:szCs w:val="20"/>
              </w:rPr>
            </w:pPr>
            <w:r>
              <w:rPr>
                <w:rFonts w:hint="eastAsia" w:ascii="黑体" w:hAnsi="黑体" w:eastAsia="黑体" w:cs="黑体"/>
                <w:sz w:val="20"/>
                <w:szCs w:val="20"/>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sz w:val="20"/>
                <w:szCs w:val="20"/>
              </w:rPr>
            </w:pPr>
            <w:r>
              <w:rPr>
                <w:rFonts w:hint="eastAsia" w:ascii="黑体" w:hAnsi="黑体" w:eastAsia="黑体" w:cs="黑体"/>
                <w:sz w:val="20"/>
                <w:szCs w:val="20"/>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sz w:val="20"/>
                <w:szCs w:val="20"/>
              </w:rPr>
            </w:pPr>
            <w:r>
              <w:rPr>
                <w:rFonts w:hint="eastAsia" w:ascii="黑体" w:hAnsi="黑体" w:eastAsia="黑体" w:cs="黑体"/>
                <w:sz w:val="20"/>
                <w:szCs w:val="20"/>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sz w:val="20"/>
                <w:szCs w:val="20"/>
              </w:rPr>
            </w:pPr>
            <w:r>
              <w:rPr>
                <w:rFonts w:hint="eastAsia" w:ascii="黑体" w:hAnsi="黑体" w:eastAsia="黑体" w:cs="黑体"/>
                <w:sz w:val="20"/>
                <w:szCs w:val="20"/>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sz w:val="20"/>
                <w:szCs w:val="20"/>
              </w:rPr>
            </w:pPr>
            <w:r>
              <w:rPr>
                <w:rFonts w:hint="eastAsia" w:ascii="黑体" w:hAnsi="黑体" w:eastAsia="黑体" w:cs="黑体"/>
                <w:sz w:val="20"/>
                <w:szCs w:val="20"/>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sz w:val="20"/>
                <w:szCs w:val="20"/>
              </w:rPr>
            </w:pPr>
            <w:r>
              <w:rPr>
                <w:rFonts w:hint="eastAsia" w:ascii="黑体" w:hAnsi="黑体" w:eastAsia="黑体" w:cs="黑体"/>
                <w:sz w:val="20"/>
                <w:szCs w:val="20"/>
              </w:rPr>
              <w:t>0</w:t>
            </w:r>
          </w:p>
        </w:tc>
        <w:tc>
          <w:tcPr>
            <w:tcW w:w="600" w:type="dxa"/>
            <w:tcBorders>
              <w:top w:val="nil"/>
              <w:left w:val="nil"/>
              <w:bottom w:val="single" w:color="auto" w:sz="6" w:space="0"/>
              <w:right w:val="single" w:color="auto" w:sz="6" w:space="0"/>
            </w:tcBorders>
            <w:noWrap w:val="0"/>
            <w:tcMar>
              <w:left w:w="105" w:type="dxa"/>
              <w:bottom w:w="0" w:type="dxa"/>
              <w:right w:w="105" w:type="dxa"/>
            </w:tcMar>
            <w:vAlign w:val="center"/>
          </w:tcPr>
          <w:p>
            <w:pPr>
              <w:jc w:val="center"/>
              <w:rPr>
                <w:rFonts w:hint="eastAsia" w:ascii="黑体" w:hAnsi="黑体" w:eastAsia="黑体" w:cs="黑体"/>
                <w:sz w:val="20"/>
                <w:szCs w:val="20"/>
              </w:rPr>
            </w:pPr>
            <w:r>
              <w:rPr>
                <w:rFonts w:hint="eastAsia" w:ascii="黑体" w:hAnsi="黑体" w:eastAsia="黑体" w:cs="黑体"/>
                <w:sz w:val="20"/>
                <w:szCs w:val="20"/>
              </w:rPr>
              <w:t>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Style w:val="6"/>
          <w:rFonts w:hint="eastAsia" w:ascii="黑体" w:hAnsi="黑体" w:eastAsia="黑体" w:cs="黑体"/>
          <w:b w:val="0"/>
          <w:bCs w:val="0"/>
          <w:i w:val="0"/>
          <w:caps w:val="0"/>
          <w:color w:val="000000"/>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Style w:val="6"/>
          <w:rFonts w:hint="eastAsia" w:ascii="黑体" w:hAnsi="黑体" w:eastAsia="黑体" w:cs="黑体"/>
          <w:b w:val="0"/>
          <w:bCs w:val="0"/>
          <w:i w:val="0"/>
          <w:caps w:val="0"/>
          <w:color w:val="000000"/>
          <w:spacing w:val="0"/>
          <w:kern w:val="0"/>
          <w:sz w:val="32"/>
          <w:szCs w:val="32"/>
          <w:shd w:val="clear" w:fill="FFFFFF"/>
          <w:lang w:val="en-US" w:eastAsia="zh-CN" w:bidi="ar"/>
        </w:rPr>
      </w:pPr>
      <w:r>
        <w:rPr>
          <w:rStyle w:val="6"/>
          <w:rFonts w:hint="eastAsia" w:ascii="黑体" w:hAnsi="黑体" w:eastAsia="黑体" w:cs="黑体"/>
          <w:b w:val="0"/>
          <w:bCs w:val="0"/>
          <w:i w:val="0"/>
          <w:caps w:val="0"/>
          <w:color w:val="000000"/>
          <w:spacing w:val="0"/>
          <w:kern w:val="0"/>
          <w:sz w:val="32"/>
          <w:szCs w:val="32"/>
          <w:shd w:val="clear" w:fill="FFFFFF"/>
          <w:lang w:val="en-US" w:eastAsia="zh-CN" w:bidi="ar"/>
        </w:rPr>
        <w:t>五、政府信息公开工作存在的主要问题及改进情况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shd w:val="clear" w:color="auto" w:fill="auto"/>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auto"/>
          <w14:textFill>
            <w14:solidFill>
              <w14:schemeClr w14:val="tx1"/>
            </w14:solidFill>
          </w14:textFill>
        </w:rPr>
        <w:t>202</w:t>
      </w: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auto"/>
          <w:lang w:val="en-US" w:eastAsia="zh-CN"/>
          <w14:textFill>
            <w14:solidFill>
              <w14:schemeClr w14:val="tx1"/>
            </w14:solidFill>
          </w14:textFill>
        </w:rPr>
        <w:t>3</w:t>
      </w: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auto"/>
          <w14:textFill>
            <w14:solidFill>
              <w14:schemeClr w14:val="tx1"/>
            </w14:solidFill>
          </w14:textFill>
        </w:rPr>
        <w:t>年，</w:t>
      </w: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auto"/>
          <w:lang w:val="en-US" w:eastAsia="zh-CN"/>
          <w14:textFill>
            <w14:solidFill>
              <w14:schemeClr w14:val="tx1"/>
            </w14:solidFill>
          </w14:textFill>
        </w:rPr>
        <w:t>枣庄高新区党群工作部</w:t>
      </w: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auto"/>
          <w14:textFill>
            <w14:solidFill>
              <w14:schemeClr w14:val="tx1"/>
            </w14:solidFill>
          </w14:textFill>
        </w:rPr>
        <w:t>信息公开工作虽然取得了一些进步，但与上级要求相比还有一定差距，仍然存在重点领域信息公开不够全面</w:t>
      </w: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auto"/>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auto"/>
          <w14:textFill>
            <w14:solidFill>
              <w14:schemeClr w14:val="tx1"/>
            </w14:solidFill>
          </w14:textFill>
        </w:rPr>
        <w:t>有的栏目信息发布更新不够及时</w:t>
      </w: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auto"/>
          <w:lang w:eastAsia="zh-CN"/>
          <w14:textFill>
            <w14:solidFill>
              <w14:schemeClr w14:val="tx1"/>
            </w14:solidFill>
          </w14:textFill>
        </w:rPr>
        <w:t>，部门</w:t>
      </w: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auto"/>
          <w14:textFill>
            <w14:solidFill>
              <w14:schemeClr w14:val="tx1"/>
            </w14:solidFill>
          </w14:textFill>
        </w:rPr>
        <w:t>政务公开工作力量比较薄弱</w:t>
      </w: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auto"/>
          <w:lang w:eastAsia="zh-CN"/>
          <w14:textFill>
            <w14:solidFill>
              <w14:schemeClr w14:val="tx1"/>
            </w14:solidFill>
          </w14:textFill>
        </w:rPr>
        <w:t>，只能由办公室人员兼顾</w:t>
      </w: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auto"/>
          <w14:textFill>
            <w14:solidFill>
              <w14:schemeClr w14:val="tx1"/>
            </w14:solidFill>
          </w14:textFill>
        </w:rPr>
        <w:t>。202</w:t>
      </w: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auto"/>
          <w:lang w:val="en-US" w:eastAsia="zh-CN"/>
          <w14:textFill>
            <w14:solidFill>
              <w14:schemeClr w14:val="tx1"/>
            </w14:solidFill>
          </w14:textFill>
        </w:rPr>
        <w:t>4</w:t>
      </w: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auto"/>
          <w14:textFill>
            <w14:solidFill>
              <w14:schemeClr w14:val="tx1"/>
            </w14:solidFill>
          </w14:textFill>
        </w:rPr>
        <w:t>年，着重从以下几个方面改进提升：一是加强重点领域信息公开，提升政府信息公开标准化规范化水平。二是及时做好动态更新工作，提升信息发布的时效性。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Style w:val="6"/>
          <w:rFonts w:hint="eastAsia" w:ascii="黑体" w:hAnsi="黑体" w:eastAsia="黑体" w:cs="黑体"/>
          <w:b w:val="0"/>
          <w:bCs w:val="0"/>
          <w:i w:val="0"/>
          <w:caps w:val="0"/>
          <w:color w:val="000000"/>
          <w:spacing w:val="0"/>
          <w:kern w:val="0"/>
          <w:sz w:val="32"/>
          <w:szCs w:val="32"/>
          <w:shd w:val="clear" w:fill="FFFFFF"/>
          <w:lang w:val="en-US" w:eastAsia="zh-CN" w:bidi="ar"/>
        </w:rPr>
      </w:pPr>
      <w:r>
        <w:rPr>
          <w:rStyle w:val="6"/>
          <w:rFonts w:hint="eastAsia" w:ascii="黑体" w:hAnsi="黑体" w:eastAsia="黑体" w:cs="黑体"/>
          <w:b w:val="0"/>
          <w:bCs w:val="0"/>
          <w:i w:val="0"/>
          <w:caps w:val="0"/>
          <w:color w:val="000000"/>
          <w:spacing w:val="0"/>
          <w:kern w:val="0"/>
          <w:sz w:val="32"/>
          <w:szCs w:val="32"/>
          <w:shd w:val="clear" w:fill="FFFFFF"/>
          <w:lang w:val="en-US" w:eastAsia="zh-CN" w:bidi="ar"/>
        </w:rPr>
        <w:t>六、其他需要报告的事项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Style w:val="6"/>
          <w:rFonts w:hint="eastAsia" w:ascii="仿宋_GB2312" w:hAnsi="仿宋_GB2312" w:eastAsia="仿宋_GB2312" w:cs="仿宋_GB2312"/>
          <w:b w:val="0"/>
          <w:bCs w:val="0"/>
          <w:i w:val="0"/>
          <w:caps w:val="0"/>
          <w:color w:val="000000"/>
          <w:spacing w:val="0"/>
          <w:kern w:val="0"/>
          <w:sz w:val="32"/>
          <w:szCs w:val="32"/>
          <w:shd w:val="clear" w:fill="FFFFFF"/>
          <w:lang w:val="en-US" w:eastAsia="zh-CN" w:bidi="ar"/>
        </w:rPr>
      </w:pPr>
      <w:r>
        <w:rPr>
          <w:rStyle w:val="6"/>
          <w:rFonts w:hint="eastAsia" w:ascii="仿宋_GB2312" w:hAnsi="仿宋_GB2312" w:eastAsia="仿宋_GB2312" w:cs="仿宋_GB2312"/>
          <w:b w:val="0"/>
          <w:bCs w:val="0"/>
          <w:i w:val="0"/>
          <w:caps w:val="0"/>
          <w:color w:val="000000"/>
          <w:spacing w:val="0"/>
          <w:kern w:val="0"/>
          <w:sz w:val="32"/>
          <w:szCs w:val="32"/>
          <w:shd w:val="clear" w:fill="FFFFFF"/>
          <w:lang w:val="en-US" w:eastAsia="zh-CN" w:bidi="ar"/>
        </w:rPr>
        <w:t>1.本年度政府信息公开申请未达到《政府信息公开信息处理费管理办法》（国办函〔2020〕109号）所规定的信息处理费收费标准，故未收取信息处理费。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Style w:val="6"/>
          <w:rFonts w:hint="eastAsia" w:ascii="仿宋_GB2312" w:hAnsi="仿宋_GB2312" w:eastAsia="仿宋_GB2312" w:cs="仿宋_GB2312"/>
          <w:b w:val="0"/>
          <w:bCs w:val="0"/>
          <w:i w:val="0"/>
          <w:caps w:val="0"/>
          <w:color w:val="000000"/>
          <w:spacing w:val="0"/>
          <w:kern w:val="0"/>
          <w:sz w:val="32"/>
          <w:szCs w:val="32"/>
          <w:shd w:val="clear" w:fill="FFFFFF"/>
          <w:lang w:val="en-US" w:eastAsia="zh-CN" w:bidi="ar"/>
        </w:rPr>
      </w:pPr>
      <w:r>
        <w:rPr>
          <w:rStyle w:val="6"/>
          <w:rFonts w:hint="eastAsia" w:ascii="仿宋_GB2312" w:hAnsi="仿宋_GB2312" w:eastAsia="仿宋_GB2312" w:cs="仿宋_GB2312"/>
          <w:b w:val="0"/>
          <w:bCs w:val="0"/>
          <w:i w:val="0"/>
          <w:caps w:val="0"/>
          <w:color w:val="000000"/>
          <w:spacing w:val="0"/>
          <w:kern w:val="0"/>
          <w:sz w:val="32"/>
          <w:szCs w:val="32"/>
          <w:shd w:val="clear" w:fill="FFFFFF"/>
          <w:lang w:val="en-US" w:eastAsia="zh-CN" w:bidi="ar"/>
        </w:rPr>
        <w:t>2.本行政机关人大代表建议和政协提案办理结果公开情况。2023年承办政协委员提案2件。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Style w:val="6"/>
          <w:rFonts w:hint="eastAsia" w:ascii="仿宋_GB2312" w:hAnsi="仿宋_GB2312" w:eastAsia="仿宋_GB2312" w:cs="仿宋_GB2312"/>
          <w:b w:val="0"/>
          <w:bCs w:val="0"/>
          <w:i w:val="0"/>
          <w:caps w:val="0"/>
          <w:color w:val="000000"/>
          <w:spacing w:val="0"/>
          <w:kern w:val="0"/>
          <w:sz w:val="32"/>
          <w:szCs w:val="32"/>
          <w:shd w:val="clear" w:fill="FFFFFF"/>
          <w:lang w:val="en-US" w:eastAsia="zh-CN" w:bidi="ar"/>
        </w:rPr>
      </w:pPr>
      <w:r>
        <w:rPr>
          <w:rStyle w:val="6"/>
          <w:rFonts w:hint="eastAsia" w:ascii="仿宋_GB2312" w:hAnsi="仿宋_GB2312" w:eastAsia="仿宋_GB2312" w:cs="仿宋_GB2312"/>
          <w:b w:val="0"/>
          <w:bCs w:val="0"/>
          <w:i w:val="0"/>
          <w:caps w:val="0"/>
          <w:color w:val="000000"/>
          <w:spacing w:val="0"/>
          <w:kern w:val="0"/>
          <w:sz w:val="32"/>
          <w:szCs w:val="32"/>
          <w:shd w:val="clear" w:fill="FFFFFF"/>
          <w:lang w:val="en-US" w:eastAsia="zh-CN" w:bidi="ar"/>
        </w:rPr>
        <w:t>3.本行政机关年度政务公开工作创新情况。严格要求，做好政务公开工作，提高政务公开信息的内容质量。加强政务公开信息的宣传工作，利用微信公众号，及时发布相关信息，满足群众的需求。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Style w:val="6"/>
          <w:rFonts w:hint="eastAsia" w:ascii="仿宋_GB2312" w:hAnsi="仿宋_GB2312" w:eastAsia="仿宋_GB2312" w:cs="仿宋_GB2312"/>
          <w:b w:val="0"/>
          <w:bCs w:val="0"/>
          <w:i w:val="0"/>
          <w:caps w:val="0"/>
          <w:color w:val="000000"/>
          <w:spacing w:val="0"/>
          <w:kern w:val="0"/>
          <w:sz w:val="32"/>
          <w:szCs w:val="32"/>
          <w:shd w:val="clear" w:fill="FFFFFF"/>
          <w:lang w:val="en-US" w:eastAsia="zh-CN" w:bidi="ar"/>
        </w:rPr>
      </w:pPr>
      <w:r>
        <w:rPr>
          <w:rStyle w:val="6"/>
          <w:rFonts w:hint="eastAsia" w:ascii="仿宋_GB2312" w:hAnsi="仿宋_GB2312" w:eastAsia="仿宋_GB2312" w:cs="仿宋_GB2312"/>
          <w:b w:val="0"/>
          <w:bCs w:val="0"/>
          <w:i w:val="0"/>
          <w:caps w:val="0"/>
          <w:color w:val="000000"/>
          <w:spacing w:val="0"/>
          <w:kern w:val="0"/>
          <w:sz w:val="32"/>
          <w:szCs w:val="32"/>
          <w:shd w:val="clear" w:fill="FFFFFF"/>
          <w:lang w:val="en-US" w:eastAsia="zh-CN" w:bidi="ar"/>
        </w:rPr>
        <w:t>4.本行政机关政府信息公开工作年度报告数据统计需要说明的事项。本报告中所列数据的统计时限为2023年1月1日至2023年12月31日。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Style w:val="6"/>
          <w:rFonts w:hint="eastAsia" w:ascii="仿宋_GB2312" w:hAnsi="仿宋_GB2312" w:eastAsia="仿宋_GB2312" w:cs="仿宋_GB2312"/>
          <w:b w:val="0"/>
          <w:bCs w:val="0"/>
          <w:i w:val="0"/>
          <w:caps w:val="0"/>
          <w:color w:val="000000"/>
          <w:spacing w:val="0"/>
          <w:kern w:val="0"/>
          <w:sz w:val="32"/>
          <w:szCs w:val="32"/>
          <w:shd w:val="clear" w:fill="FFFFFF"/>
          <w:lang w:val="en-US" w:eastAsia="zh-CN" w:bidi="ar"/>
        </w:rPr>
      </w:pPr>
      <w:r>
        <w:rPr>
          <w:rStyle w:val="6"/>
          <w:rFonts w:hint="eastAsia" w:ascii="仿宋_GB2312" w:hAnsi="仿宋_GB2312" w:eastAsia="仿宋_GB2312" w:cs="仿宋_GB2312"/>
          <w:b w:val="0"/>
          <w:bCs w:val="0"/>
          <w:i w:val="0"/>
          <w:caps w:val="0"/>
          <w:color w:val="000000"/>
          <w:spacing w:val="0"/>
          <w:kern w:val="0"/>
          <w:sz w:val="32"/>
          <w:szCs w:val="32"/>
          <w:shd w:val="clear" w:fill="FFFFFF"/>
          <w:lang w:val="en-US" w:eastAsia="zh-CN" w:bidi="ar"/>
        </w:rPr>
        <w:t>5.本行政机关认为需要报告的其他事项。无。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Style w:val="6"/>
          <w:rFonts w:hint="eastAsia" w:ascii="仿宋_GB2312" w:hAnsi="仿宋_GB2312" w:eastAsia="仿宋_GB2312" w:cs="仿宋_GB2312"/>
          <w:b w:val="0"/>
          <w:bCs w:val="0"/>
          <w:i w:val="0"/>
          <w:caps w:val="0"/>
          <w:color w:val="000000"/>
          <w:spacing w:val="0"/>
          <w:kern w:val="0"/>
          <w:sz w:val="32"/>
          <w:szCs w:val="32"/>
          <w:shd w:val="clear" w:fill="FFFFFF"/>
          <w:lang w:val="en-US" w:eastAsia="zh-CN" w:bidi="ar"/>
        </w:rPr>
      </w:pPr>
      <w:r>
        <w:rPr>
          <w:rStyle w:val="6"/>
          <w:rFonts w:hint="eastAsia" w:ascii="仿宋_GB2312" w:hAnsi="仿宋_GB2312" w:eastAsia="仿宋_GB2312" w:cs="仿宋_GB2312"/>
          <w:b w:val="0"/>
          <w:bCs w:val="0"/>
          <w:i w:val="0"/>
          <w:caps w:val="0"/>
          <w:color w:val="000000"/>
          <w:spacing w:val="0"/>
          <w:kern w:val="0"/>
          <w:sz w:val="32"/>
          <w:szCs w:val="32"/>
          <w:shd w:val="clear" w:fill="FFFFFF"/>
          <w:lang w:val="en-US" w:eastAsia="zh-CN" w:bidi="ar"/>
        </w:rPr>
        <w:t>6.其他有关文件专门要求通过政府信息公开工作年度报告予以报告的事项。无。</w:t>
      </w:r>
    </w:p>
    <w:sectPr>
      <w:pgSz w:w="11906" w:h="16838"/>
      <w:pgMar w:top="1701"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wYjEyNTMyMGZlNGU5ODJiMjFlNjUyN2E0MjQ3OWYifQ=="/>
  </w:docVars>
  <w:rsids>
    <w:rsidRoot w:val="00000000"/>
    <w:rsid w:val="03AD58A1"/>
    <w:rsid w:val="0A382368"/>
    <w:rsid w:val="0D136775"/>
    <w:rsid w:val="10A60B7B"/>
    <w:rsid w:val="130A686C"/>
    <w:rsid w:val="195919B3"/>
    <w:rsid w:val="287C36AF"/>
    <w:rsid w:val="2D595FCE"/>
    <w:rsid w:val="3275165B"/>
    <w:rsid w:val="33C21F4F"/>
    <w:rsid w:val="34962968"/>
    <w:rsid w:val="349A75F8"/>
    <w:rsid w:val="40A702AB"/>
    <w:rsid w:val="47941C85"/>
    <w:rsid w:val="47D46525"/>
    <w:rsid w:val="4D3D691B"/>
    <w:rsid w:val="4EA318CC"/>
    <w:rsid w:val="4F8B1BBF"/>
    <w:rsid w:val="54FC355F"/>
    <w:rsid w:val="565523EB"/>
    <w:rsid w:val="5D1A6B3E"/>
    <w:rsid w:val="6057188B"/>
    <w:rsid w:val="63507136"/>
    <w:rsid w:val="655A2308"/>
    <w:rsid w:val="7B38234C"/>
    <w:rsid w:val="7EAB1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2000" b="0" i="0" u="none" strike="noStrike" kern="1200" cap="none" spc="0" normalizeH="0" baseline="0">
                <a:solidFill>
                  <a:schemeClr val="tx1">
                    <a:lumMod val="65000"/>
                    <a:lumOff val="35000"/>
                  </a:schemeClr>
                </a:solidFill>
                <a:latin typeface="+mj-lt"/>
                <a:ea typeface="+mj-ea"/>
                <a:cs typeface="+mj-cs"/>
              </a:defRPr>
            </a:pPr>
            <a:r>
              <a:t>信息公开</a:t>
            </a:r>
          </a:p>
        </c:rich>
      </c:tx>
      <c:layout/>
      <c:overlay val="0"/>
      <c:spPr>
        <a:noFill/>
        <a:ln>
          <a:noFill/>
        </a:ln>
        <a:effectLst/>
      </c:spPr>
    </c:title>
    <c:autoTitleDeleted val="0"/>
    <c:plotArea>
      <c:layout>
        <c:manualLayout>
          <c:layoutTarget val="inner"/>
          <c:xMode val="edge"/>
          <c:yMode val="edge"/>
          <c:x val="0.0777094437611043"/>
          <c:y val="0.183230474569057"/>
          <c:w val="0.77810578105781"/>
          <c:h val="0.704277505852309"/>
        </c:manualLayout>
      </c:layout>
      <c:barChart>
        <c:barDir val="col"/>
        <c:grouping val="clustered"/>
        <c:varyColors val="0"/>
        <c:ser>
          <c:idx val="0"/>
          <c:order val="0"/>
          <c:spPr>
            <a:solidFill>
              <a:schemeClr val="accent1"/>
            </a:solidFill>
            <a:ln>
              <a:noFill/>
            </a:ln>
            <a:effectLst/>
          </c:spPr>
          <c:invertIfNegative val="0"/>
          <c:dLbls>
            <c:delete val="1"/>
          </c:dLbls>
          <c:val>
            <c:numRef>
              <c:f>Sheet1!$A$2:$A$5</c:f>
              <c:numCache>
                <c:formatCode>General</c:formatCode>
                <c:ptCount val="4"/>
                <c:pt idx="0">
                  <c:v>0</c:v>
                </c:pt>
                <c:pt idx="1">
                  <c:v>0</c:v>
                </c:pt>
                <c:pt idx="2">
                  <c:v>0</c:v>
                </c:pt>
                <c:pt idx="3">
                  <c:v>0</c:v>
                </c:pt>
              </c:numCache>
            </c:numRef>
          </c:val>
        </c:ser>
        <c:ser>
          <c:idx val="1"/>
          <c:order val="1"/>
          <c:spPr>
            <a:solidFill>
              <a:schemeClr val="accent2"/>
            </a:solidFill>
            <a:ln>
              <a:noFill/>
            </a:ln>
            <a:effectLst/>
          </c:spPr>
          <c:invertIfNegative val="0"/>
          <c:dLbls>
            <c:delete val="1"/>
          </c:dLbls>
          <c:val>
            <c:numRef>
              <c:f>Sheet1!$B$2:$B$5</c:f>
              <c:numCache>
                <c:formatCode>General</c:formatCode>
                <c:ptCount val="4"/>
                <c:pt idx="0">
                  <c:v>3</c:v>
                </c:pt>
                <c:pt idx="1">
                  <c:v>3</c:v>
                </c:pt>
                <c:pt idx="2">
                  <c:v>42</c:v>
                </c:pt>
                <c:pt idx="3">
                  <c:v>320</c:v>
                </c:pt>
              </c:numCache>
            </c:numRef>
          </c:val>
        </c:ser>
        <c:dLbls>
          <c:showLegendKey val="0"/>
          <c:showVal val="0"/>
          <c:showCatName val="0"/>
          <c:showSerName val="0"/>
          <c:showPercent val="0"/>
          <c:showBubbleSize val="0"/>
        </c:dLbls>
        <c:gapWidth val="150"/>
        <c:overlap val="0"/>
        <c:axId val="556515504"/>
        <c:axId val="737968095"/>
      </c:barChart>
      <c:catAx>
        <c:axId val="556515504"/>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latin typeface="+mn-lt"/>
                <a:ea typeface="+mn-ea"/>
                <a:cs typeface="+mn-cs"/>
              </a:defRPr>
            </a:pPr>
          </a:p>
        </c:txPr>
        <c:crossAx val="737968095"/>
        <c:crosses val="autoZero"/>
        <c:auto val="1"/>
        <c:lblAlgn val="ctr"/>
        <c:lblOffset val="100"/>
        <c:noMultiLvlLbl val="0"/>
      </c:catAx>
      <c:valAx>
        <c:axId val="737968095"/>
        <c:scaling>
          <c:orientation val="minMax"/>
          <c:max val="2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6515504"/>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2525</Words>
  <Characters>2677</Characters>
  <Lines>0</Lines>
  <Paragraphs>0</Paragraphs>
  <TotalTime>1</TotalTime>
  <ScaleCrop>false</ScaleCrop>
  <LinksUpToDate>false</LinksUpToDate>
  <CharactersWithSpaces>2677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2022-01-18T01:17:00Z</dcterms:created>
  <dc:creator>ZGBBGS</dc:creator>
  <cp:lastModifiedBy>三文鱼。</cp:lastModifiedBy>
  <cp:lastPrinted>2023-01-30T07:44:00Z</cp:lastPrinted>
  <dcterms:modified xsi:type="dcterms:W3CDTF">2024-01-24T09:40:59Z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B8ECC31F224B4F14BC204B89A303347E_13</vt:lpwstr>
  </property>
</Properties>
</file>