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after="274" w:afterAutospacing="0" w:line="560" w:lineRule="exact"/>
        <w:jc w:val="center"/>
        <w:textAlignment w:val="auto"/>
      </w:pPr>
      <w:r>
        <w:rPr>
          <w:rFonts w:ascii="方正小标宋_GBK" w:hAnsi="方正小标宋_GBK" w:eastAsia="方正小标宋_GBK" w:cs="方正小标宋_GBK"/>
          <w:i w:val="0"/>
          <w:color w:val="000000"/>
          <w:spacing w:val="0"/>
          <w:sz w:val="44"/>
          <w:szCs w:val="44"/>
        </w:rPr>
        <w:br w:type="textWrapping"/>
      </w:r>
      <w:r>
        <w:rPr>
          <w:rFonts w:hint="eastAsia" w:ascii="方正小标宋_GBK" w:hAnsi="方正小标宋_GBK" w:eastAsia="方正小标宋_GBK" w:cs="方正小标宋_GBK"/>
          <w:i w:val="0"/>
          <w:color w:val="000000"/>
          <w:spacing w:val="0"/>
          <w:sz w:val="44"/>
          <w:szCs w:val="44"/>
        </w:rPr>
        <w:t>枣庄高新规划中心</w:t>
      </w:r>
      <w:r>
        <w:rPr>
          <w:rFonts w:hint="eastAsia" w:ascii="方正小标宋_GBK" w:hAnsi="方正小标宋_GBK" w:eastAsia="方正小标宋_GBK" w:cs="方正小标宋_GBK"/>
          <w:i w:val="0"/>
          <w:sz w:val="44"/>
          <w:szCs w:val="44"/>
        </w:rPr>
        <w:t>202</w:t>
      </w:r>
      <w:r>
        <w:rPr>
          <w:rFonts w:hint="eastAsia" w:ascii="方正小标宋_GBK" w:hAnsi="方正小标宋_GBK" w:eastAsia="方正小标宋_GBK" w:cs="方正小标宋_GBK"/>
          <w:i w:val="0"/>
          <w:sz w:val="44"/>
          <w:szCs w:val="44"/>
          <w:lang w:val="en-US" w:eastAsia="zh-CN"/>
        </w:rPr>
        <w:t>3</w:t>
      </w:r>
      <w:r>
        <w:rPr>
          <w:rFonts w:hint="eastAsia" w:ascii="方正小标宋_GBK" w:hAnsi="方正小标宋_GBK" w:eastAsia="方正小标宋_GBK" w:cs="方正小标宋_GBK"/>
          <w:i w:val="0"/>
          <w:color w:val="000000"/>
          <w:spacing w:val="0"/>
          <w:sz w:val="44"/>
          <w:szCs w:val="44"/>
        </w:rPr>
        <w:t>年政府信息公开</w:t>
      </w:r>
    </w:p>
    <w:p>
      <w:pPr>
        <w:pStyle w:val="2"/>
        <w:keepNext w:val="0"/>
        <w:keepLines w:val="0"/>
        <w:pageBreakBefore w:val="0"/>
        <w:widowControl/>
        <w:suppressLineNumbers w:val="0"/>
        <w:kinsoku/>
        <w:wordWrap/>
        <w:overflowPunct/>
        <w:topLinePunct w:val="0"/>
        <w:autoSpaceDE/>
        <w:autoSpaceDN/>
        <w:bidi w:val="0"/>
        <w:adjustRightInd/>
        <w:snapToGrid/>
        <w:spacing w:after="274" w:afterAutospacing="0" w:line="560" w:lineRule="exact"/>
        <w:jc w:val="center"/>
        <w:textAlignment w:val="auto"/>
        <w:rPr>
          <w:rFonts w:hint="eastAsia" w:ascii="方正小标宋_GBK" w:hAnsi="方正小标宋_GBK" w:eastAsia="方正小标宋_GBK" w:cs="方正小标宋_GBK"/>
          <w:i w:val="0"/>
          <w:color w:val="000000"/>
          <w:spacing w:val="0"/>
          <w:sz w:val="44"/>
          <w:szCs w:val="44"/>
        </w:rPr>
      </w:pPr>
      <w:r>
        <w:rPr>
          <w:rFonts w:hint="eastAsia" w:ascii="方正小标宋_GBK" w:hAnsi="方正小标宋_GBK" w:eastAsia="方正小标宋_GBK" w:cs="方正小标宋_GBK"/>
          <w:i w:val="0"/>
          <w:color w:val="000000"/>
          <w:spacing w:val="0"/>
          <w:sz w:val="44"/>
          <w:szCs w:val="44"/>
        </w:rPr>
        <w:t>工作年度报告</w:t>
      </w:r>
    </w:p>
    <w:p>
      <w:pPr>
        <w:pStyle w:val="2"/>
        <w:keepNext w:val="0"/>
        <w:keepLines w:val="0"/>
        <w:pageBreakBefore w:val="0"/>
        <w:widowControl/>
        <w:suppressLineNumbers w:val="0"/>
        <w:kinsoku/>
        <w:wordWrap/>
        <w:overflowPunct/>
        <w:topLinePunct w:val="0"/>
        <w:autoSpaceDE/>
        <w:autoSpaceDN/>
        <w:bidi w:val="0"/>
        <w:adjustRightInd/>
        <w:snapToGrid/>
        <w:spacing w:after="274" w:afterAutospacing="0" w:line="560" w:lineRule="exact"/>
        <w:jc w:val="center"/>
        <w:textAlignment w:val="auto"/>
        <w:rPr>
          <w:rFonts w:hint="eastAsia" w:ascii="方正小标宋_GBK" w:hAnsi="方正小标宋_GBK" w:eastAsia="方正小标宋_GBK" w:cs="方正小标宋_GBK"/>
          <w:i w:val="0"/>
          <w:color w:val="000000"/>
          <w:spacing w:val="0"/>
          <w:sz w:val="32"/>
          <w:szCs w:val="32"/>
        </w:rPr>
      </w:pPr>
    </w:p>
    <w:p>
      <w:pPr>
        <w:pStyle w:val="2"/>
        <w:keepNext w:val="0"/>
        <w:keepLines w:val="0"/>
        <w:widowControl/>
        <w:suppressLineNumbers w:val="0"/>
        <w:spacing w:after="274" w:afterAutospacing="0" w:line="619" w:lineRule="atLeast"/>
        <w:ind w:left="0" w:firstLine="634"/>
        <w:jc w:val="both"/>
      </w:pPr>
      <w:r>
        <w:rPr>
          <w:rFonts w:ascii="仿宋_GB2312" w:eastAsia="仿宋_GB2312" w:cs="仿宋_GB2312"/>
          <w:i w:val="0"/>
          <w:color w:val="000000"/>
          <w:spacing w:val="0"/>
          <w:sz w:val="32"/>
          <w:szCs w:val="32"/>
        </w:rPr>
        <w:t>根据《中华人民共和国政府信息公开条例》（国务院令第</w:t>
      </w:r>
      <w:r>
        <w:rPr>
          <w:rFonts w:hint="eastAsia" w:ascii="仿宋_GB2312" w:eastAsia="仿宋_GB2312" w:cs="仿宋_GB2312"/>
          <w:i w:val="0"/>
          <w:sz w:val="32"/>
          <w:szCs w:val="32"/>
        </w:rPr>
        <w:t>711号，以下简称《条例》）和《国务院办公厅政府信息与政务公开办公室关于印发＜中华人民共和国政府信息公开工作年度报告格式＞的通知》（国办公开办函〔2021〕30号）要求，</w:t>
      </w:r>
      <w:r>
        <w:rPr>
          <w:rFonts w:hint="eastAsia" w:ascii="仿宋_GB2312" w:eastAsia="仿宋_GB2312" w:cs="仿宋_GB2312"/>
          <w:i w:val="0"/>
          <w:color w:val="000000"/>
          <w:spacing w:val="0"/>
          <w:sz w:val="32"/>
          <w:szCs w:val="32"/>
        </w:rPr>
        <w:t>现向社会公开枣庄高新规划中心202</w:t>
      </w:r>
      <w:r>
        <w:rPr>
          <w:rFonts w:hint="eastAsia" w:ascii="仿宋_GB2312" w:eastAsia="仿宋_GB2312" w:cs="仿宋_GB2312"/>
          <w:i w:val="0"/>
          <w:color w:val="000000"/>
          <w:spacing w:val="0"/>
          <w:sz w:val="32"/>
          <w:szCs w:val="32"/>
          <w:lang w:val="en-US" w:eastAsia="zh-CN"/>
        </w:rPr>
        <w:t>3</w:t>
      </w:r>
      <w:r>
        <w:rPr>
          <w:rFonts w:hint="eastAsia" w:ascii="仿宋_GB2312" w:eastAsia="仿宋_GB2312" w:cs="仿宋_GB2312"/>
          <w:i w:val="0"/>
          <w:color w:val="000000"/>
          <w:spacing w:val="0"/>
          <w:sz w:val="32"/>
          <w:szCs w:val="32"/>
        </w:rPr>
        <w:t>年政府信息公开工作年度报告。内容包括总体情况、主动公开政府信息情况、收到和处理政府信息公开申请情况、政府信息公开行政复议及行政诉讼情况、存在的主要问题及改进情况、其他需要报告的事项等六个部分。本年度报告中所列数据的统计期限自202</w:t>
      </w:r>
      <w:r>
        <w:rPr>
          <w:rFonts w:hint="eastAsia" w:ascii="仿宋_GB2312" w:eastAsia="仿宋_GB2312" w:cs="仿宋_GB2312"/>
          <w:i w:val="0"/>
          <w:color w:val="000000"/>
          <w:spacing w:val="0"/>
          <w:sz w:val="32"/>
          <w:szCs w:val="32"/>
          <w:lang w:val="en-US" w:eastAsia="zh-CN"/>
        </w:rPr>
        <w:t>3</w:t>
      </w:r>
      <w:r>
        <w:rPr>
          <w:rFonts w:hint="eastAsia" w:ascii="仿宋_GB2312" w:eastAsia="仿宋_GB2312" w:cs="仿宋_GB2312"/>
          <w:i w:val="0"/>
          <w:sz w:val="32"/>
          <w:szCs w:val="32"/>
        </w:rPr>
        <w:t>年1月1日起至202</w:t>
      </w:r>
      <w:r>
        <w:rPr>
          <w:rFonts w:hint="eastAsia" w:ascii="仿宋_GB2312" w:eastAsia="仿宋_GB2312" w:cs="仿宋_GB2312"/>
          <w:i w:val="0"/>
          <w:sz w:val="32"/>
          <w:szCs w:val="32"/>
          <w:lang w:val="en-US" w:eastAsia="zh-CN"/>
        </w:rPr>
        <w:t>3</w:t>
      </w:r>
      <w:r>
        <w:rPr>
          <w:rFonts w:hint="eastAsia" w:ascii="仿宋_GB2312" w:eastAsia="仿宋_GB2312" w:cs="仿宋_GB2312"/>
          <w:i w:val="0"/>
          <w:sz w:val="32"/>
          <w:szCs w:val="32"/>
        </w:rPr>
        <w:t>年12月31日止。如对本报告有疑问，可与</w:t>
      </w:r>
      <w:r>
        <w:rPr>
          <w:rFonts w:hint="eastAsia" w:ascii="仿宋_GB2312" w:eastAsia="仿宋_GB2312" w:cs="仿宋_GB2312"/>
          <w:i w:val="0"/>
          <w:color w:val="000000"/>
          <w:spacing w:val="0"/>
          <w:sz w:val="32"/>
          <w:szCs w:val="32"/>
        </w:rPr>
        <w:t>高新规划中心联系（地址：薛城区光明西路1699</w:t>
      </w:r>
      <w:r>
        <w:rPr>
          <w:rFonts w:hint="eastAsia" w:ascii="仿宋_GB2312" w:eastAsia="仿宋_GB2312" w:cs="仿宋_GB2312"/>
          <w:i w:val="0"/>
          <w:sz w:val="32"/>
          <w:szCs w:val="32"/>
        </w:rPr>
        <w:t>号高新区管委会</w:t>
      </w:r>
      <w:r>
        <w:rPr>
          <w:rFonts w:hint="eastAsia" w:ascii="仿宋_GB2312" w:eastAsia="仿宋_GB2312" w:cs="仿宋_GB2312"/>
          <w:i w:val="0"/>
          <w:color w:val="000000"/>
          <w:spacing w:val="0"/>
          <w:sz w:val="32"/>
          <w:szCs w:val="32"/>
        </w:rPr>
        <w:t>3楼，邮政编码：</w:t>
      </w:r>
      <w:r>
        <w:rPr>
          <w:rFonts w:hint="eastAsia" w:ascii="仿宋_GB2312" w:eastAsia="仿宋_GB2312" w:cs="仿宋_GB2312"/>
          <w:i w:val="0"/>
          <w:sz w:val="32"/>
          <w:szCs w:val="32"/>
        </w:rPr>
        <w:t>277800；电话：0632-</w:t>
      </w:r>
      <w:r>
        <w:rPr>
          <w:rFonts w:hint="eastAsia" w:ascii="仿宋_GB2312" w:eastAsia="仿宋_GB2312" w:cs="仿宋_GB2312"/>
          <w:i w:val="0"/>
          <w:color w:val="000000"/>
          <w:spacing w:val="0"/>
          <w:sz w:val="32"/>
          <w:szCs w:val="32"/>
        </w:rPr>
        <w:t>7587169；电子邮箱：zzgxqghfj</w:t>
      </w:r>
      <w:r>
        <w:rPr>
          <w:rFonts w:hint="eastAsia" w:ascii="仿宋_GB2312" w:eastAsia="仿宋_GB2312" w:cs="仿宋_GB2312"/>
          <w:i w:val="0"/>
          <w:sz w:val="32"/>
          <w:szCs w:val="32"/>
        </w:rPr>
        <w:t>＠126.com）</w:t>
      </w:r>
      <w:r>
        <w:rPr>
          <w:rFonts w:hint="eastAsia" w:ascii="仿宋_GB2312" w:eastAsia="仿宋_GB2312" w:cs="仿宋_GB2312"/>
          <w:i w:val="0"/>
          <w:color w:val="000000"/>
          <w:spacing w:val="0"/>
          <w:sz w:val="32"/>
          <w:szCs w:val="32"/>
        </w:rPr>
        <w:t>   </w:t>
      </w:r>
    </w:p>
    <w:p>
      <w:pPr>
        <w:pStyle w:val="2"/>
        <w:keepNext w:val="0"/>
        <w:keepLines w:val="0"/>
        <w:widowControl/>
        <w:suppressLineNumbers w:val="0"/>
        <w:spacing w:after="274" w:afterAutospacing="0" w:line="619" w:lineRule="atLeast"/>
        <w:ind w:left="0" w:firstLine="634"/>
        <w:jc w:val="both"/>
      </w:pPr>
      <w:r>
        <w:rPr>
          <w:rFonts w:ascii="黑体" w:hAnsi="宋体" w:eastAsia="黑体" w:cs="黑体"/>
          <w:i w:val="0"/>
          <w:color w:val="000000"/>
          <w:spacing w:val="0"/>
          <w:sz w:val="32"/>
          <w:szCs w:val="32"/>
        </w:rPr>
        <w:t>一、总体情况</w:t>
      </w:r>
    </w:p>
    <w:p>
      <w:pPr>
        <w:pStyle w:val="2"/>
        <w:keepNext w:val="0"/>
        <w:keepLines w:val="0"/>
        <w:widowControl/>
        <w:suppressLineNumbers w:val="0"/>
        <w:spacing w:after="274" w:afterAutospacing="0" w:line="619" w:lineRule="atLeast"/>
        <w:ind w:left="0" w:firstLine="634"/>
        <w:jc w:val="both"/>
      </w:pPr>
      <w:r>
        <w:rPr>
          <w:rFonts w:hint="eastAsia" w:ascii="仿宋_GB2312" w:eastAsia="仿宋_GB2312" w:cs="仿宋_GB2312"/>
          <w:i w:val="0"/>
          <w:color w:val="000000"/>
          <w:spacing w:val="0"/>
          <w:sz w:val="32"/>
          <w:szCs w:val="32"/>
        </w:rPr>
        <w:t>202</w:t>
      </w:r>
      <w:r>
        <w:rPr>
          <w:rFonts w:hint="eastAsia" w:ascii="仿宋_GB2312" w:eastAsia="仿宋_GB2312" w:cs="仿宋_GB2312"/>
          <w:i w:val="0"/>
          <w:color w:val="000000"/>
          <w:spacing w:val="0"/>
          <w:sz w:val="32"/>
          <w:szCs w:val="32"/>
          <w:lang w:val="en-US" w:eastAsia="zh-CN"/>
        </w:rPr>
        <w:t>3</w:t>
      </w:r>
      <w:r>
        <w:rPr>
          <w:rFonts w:hint="eastAsia" w:ascii="仿宋_GB2312" w:eastAsia="仿宋_GB2312" w:cs="仿宋_GB2312"/>
          <w:i w:val="0"/>
          <w:color w:val="000000"/>
          <w:spacing w:val="0"/>
          <w:sz w:val="32"/>
          <w:szCs w:val="32"/>
        </w:rPr>
        <w:t>年，规划中心</w:t>
      </w:r>
      <w:r>
        <w:rPr>
          <w:rFonts w:hint="eastAsia" w:ascii="仿宋_GB2312" w:eastAsia="仿宋_GB2312" w:cs="仿宋_GB2312"/>
          <w:i w:val="0"/>
          <w:color w:val="000000"/>
          <w:spacing w:val="0"/>
          <w:sz w:val="32"/>
          <w:szCs w:val="32"/>
          <w:lang w:eastAsia="zh-CN"/>
        </w:rPr>
        <w:t>坚持</w:t>
      </w:r>
      <w:r>
        <w:rPr>
          <w:rFonts w:hint="eastAsia" w:ascii="仿宋_GB2312" w:eastAsia="仿宋_GB2312" w:cs="仿宋_GB2312"/>
          <w:i w:val="0"/>
          <w:color w:val="000000"/>
          <w:spacing w:val="0"/>
          <w:sz w:val="32"/>
          <w:szCs w:val="32"/>
        </w:rPr>
        <w:t>以习近平新时代中国特色社会主义思想为指导，全面贯彻落实《条例》等国家、省、市和高新区管委会关于全面深化政务公开的工作要求，坚持以人民为中心，不断拓展公开的广度和深度，继续遵循依法、准确、及时、公正和便民的原则，坚持政务公开常态化，加大政务公开力度，增强政务公开实效，推进执行公开、管理公开、服务公开和结果公开。开展“政府开放日”系列活动，发布部门办公会议解读；做好日常工作配合、重点任务落实等信息公开，切实保障人民群众的知情权、参与权、表达权和监督权；进一步加强组织领导，将政府信息公开工作责任到人，办公室负责人兼职政府信息公开工作，“每月一体检”，切实抓好政务公开网站个人信息安全、错敏词排查等工作，进一步提高政务公开信息上传的质量，确保中心网站运行安全和信息安全。政府信息公开工作的积极性、主动性不断提高，政府工作透明度进一步增强。本年度报告中所列数据的统计期限自202</w:t>
      </w:r>
      <w:r>
        <w:rPr>
          <w:rFonts w:hint="eastAsia" w:ascii="仿宋_GB2312" w:eastAsia="仿宋_GB2312" w:cs="仿宋_GB2312"/>
          <w:i w:val="0"/>
          <w:color w:val="000000"/>
          <w:spacing w:val="0"/>
          <w:sz w:val="32"/>
          <w:szCs w:val="32"/>
          <w:lang w:val="en-US" w:eastAsia="zh-CN"/>
        </w:rPr>
        <w:t>3</w:t>
      </w:r>
      <w:r>
        <w:rPr>
          <w:rFonts w:hint="eastAsia" w:ascii="仿宋_GB2312" w:eastAsia="仿宋_GB2312" w:cs="仿宋_GB2312"/>
          <w:i w:val="0"/>
          <w:color w:val="000000"/>
          <w:spacing w:val="0"/>
          <w:sz w:val="32"/>
          <w:szCs w:val="32"/>
        </w:rPr>
        <w:t>年</w:t>
      </w:r>
      <w:r>
        <w:rPr>
          <w:rFonts w:hint="eastAsia" w:ascii="仿宋_GB2312" w:eastAsia="仿宋_GB2312" w:cs="仿宋_GB2312"/>
          <w:i w:val="0"/>
          <w:sz w:val="32"/>
          <w:szCs w:val="32"/>
        </w:rPr>
        <w:t>1月1日起至20</w:t>
      </w:r>
      <w:r>
        <w:rPr>
          <w:rFonts w:hint="eastAsia" w:ascii="仿宋_GB2312" w:eastAsia="仿宋_GB2312" w:cs="仿宋_GB2312"/>
          <w:i w:val="0"/>
          <w:color w:val="000000"/>
          <w:spacing w:val="0"/>
          <w:sz w:val="32"/>
          <w:szCs w:val="32"/>
        </w:rPr>
        <w:t>2</w:t>
      </w:r>
      <w:r>
        <w:rPr>
          <w:rFonts w:hint="eastAsia" w:ascii="仿宋_GB2312" w:eastAsia="仿宋_GB2312" w:cs="仿宋_GB2312"/>
          <w:i w:val="0"/>
          <w:color w:val="000000"/>
          <w:spacing w:val="0"/>
          <w:sz w:val="32"/>
          <w:szCs w:val="32"/>
          <w:lang w:val="en-US" w:eastAsia="zh-CN"/>
        </w:rPr>
        <w:t>3</w:t>
      </w:r>
      <w:r>
        <w:rPr>
          <w:rFonts w:hint="eastAsia" w:ascii="仿宋_GB2312" w:eastAsia="仿宋_GB2312" w:cs="仿宋_GB2312"/>
          <w:i w:val="0"/>
          <w:color w:val="000000"/>
          <w:spacing w:val="0"/>
          <w:sz w:val="32"/>
          <w:szCs w:val="32"/>
        </w:rPr>
        <w:t>年</w:t>
      </w:r>
      <w:r>
        <w:rPr>
          <w:rFonts w:hint="eastAsia" w:ascii="仿宋_GB2312" w:eastAsia="仿宋_GB2312" w:cs="仿宋_GB2312"/>
          <w:i w:val="0"/>
          <w:sz w:val="32"/>
          <w:szCs w:val="32"/>
        </w:rPr>
        <w:t>12月31日止。 </w:t>
      </w:r>
    </w:p>
    <w:p>
      <w:pPr>
        <w:pStyle w:val="2"/>
        <w:keepNext w:val="0"/>
        <w:keepLines w:val="0"/>
        <w:widowControl/>
        <w:suppressLineNumbers w:val="0"/>
        <w:spacing w:after="274" w:afterAutospacing="0" w:line="317" w:lineRule="atLeast"/>
        <w:jc w:val="left"/>
      </w:pPr>
      <w:r>
        <w:rPr>
          <w:rFonts w:ascii="楷体_GB2312" w:eastAsia="楷体_GB2312" w:cs="楷体_GB2312"/>
          <w:sz w:val="32"/>
          <w:szCs w:val="32"/>
        </w:rPr>
        <w:t>   （一）主动公开政府信息的情况</w:t>
      </w:r>
    </w:p>
    <w:p>
      <w:pPr>
        <w:pStyle w:val="2"/>
        <w:keepNext w:val="0"/>
        <w:keepLines w:val="0"/>
        <w:widowControl/>
        <w:suppressLineNumbers w:val="0"/>
        <w:spacing w:line="315" w:lineRule="atLeast"/>
      </w:pPr>
      <w:r>
        <w:rPr>
          <w:rFonts w:hint="eastAsia" w:ascii="仿宋_GB2312" w:eastAsia="仿宋_GB2312" w:cs="仿宋_GB2312"/>
          <w:sz w:val="32"/>
          <w:szCs w:val="32"/>
        </w:rPr>
        <w:t>   1、主动公开政府信息数</w:t>
      </w:r>
    </w:p>
    <w:p>
      <w:pPr>
        <w:pStyle w:val="2"/>
        <w:keepNext w:val="0"/>
        <w:keepLines w:val="0"/>
        <w:widowControl/>
        <w:suppressLineNumbers w:val="0"/>
        <w:spacing w:after="274" w:afterAutospacing="0" w:line="317" w:lineRule="atLeast"/>
        <w:ind w:left="0" w:firstLine="634"/>
        <w:jc w:val="left"/>
      </w:pPr>
      <w:r>
        <w:rPr>
          <w:rFonts w:hint="eastAsia" w:eastAsia="宋体"/>
          <w:lang w:eastAsia="zh-CN"/>
        </w:rPr>
        <w:drawing>
          <wp:inline distT="0" distB="0" distL="114300" distR="114300">
            <wp:extent cx="2870200" cy="19431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suppressLineNumbers w:val="0"/>
        <w:spacing w:after="274" w:afterAutospacing="0" w:line="619" w:lineRule="atLeast"/>
        <w:ind w:left="0" w:firstLine="634"/>
        <w:jc w:val="left"/>
      </w:pPr>
      <w:r>
        <w:rPr>
          <w:rFonts w:hint="eastAsia" w:ascii="仿宋_GB2312" w:eastAsia="仿宋_GB2312" w:cs="仿宋_GB2312"/>
          <w:i w:val="0"/>
          <w:color w:val="000000"/>
          <w:spacing w:val="0"/>
          <w:sz w:val="32"/>
          <w:szCs w:val="32"/>
        </w:rPr>
        <w:t>202</w:t>
      </w:r>
      <w:r>
        <w:rPr>
          <w:rFonts w:hint="eastAsia" w:ascii="仿宋_GB2312" w:eastAsia="仿宋_GB2312" w:cs="仿宋_GB2312"/>
          <w:i w:val="0"/>
          <w:color w:val="000000"/>
          <w:spacing w:val="0"/>
          <w:sz w:val="32"/>
          <w:szCs w:val="32"/>
          <w:lang w:val="en-US" w:eastAsia="zh-CN"/>
        </w:rPr>
        <w:t>3</w:t>
      </w:r>
      <w:r>
        <w:rPr>
          <w:rFonts w:hint="eastAsia" w:ascii="仿宋_GB2312" w:eastAsia="仿宋_GB2312" w:cs="仿宋_GB2312"/>
          <w:i w:val="0"/>
          <w:sz w:val="32"/>
          <w:szCs w:val="32"/>
        </w:rPr>
        <w:t>年高新规划中心主动公开政府信息</w:t>
      </w:r>
      <w:r>
        <w:rPr>
          <w:rFonts w:hint="eastAsia" w:ascii="仿宋_GB2312" w:eastAsia="仿宋_GB2312" w:cs="仿宋_GB2312"/>
          <w:i w:val="0"/>
          <w:color w:val="000000"/>
          <w:spacing w:val="0"/>
          <w:sz w:val="32"/>
          <w:szCs w:val="32"/>
          <w:lang w:val="en-US" w:eastAsia="zh-CN"/>
        </w:rPr>
        <w:t>101</w:t>
      </w:r>
      <w:r>
        <w:rPr>
          <w:rFonts w:hint="eastAsia" w:ascii="仿宋_GB2312" w:eastAsia="仿宋_GB2312" w:cs="仿宋_GB2312"/>
          <w:i w:val="0"/>
          <w:color w:val="000000"/>
          <w:spacing w:val="0"/>
          <w:sz w:val="32"/>
          <w:szCs w:val="32"/>
        </w:rPr>
        <w:t>条，较</w:t>
      </w:r>
      <w:r>
        <w:rPr>
          <w:rFonts w:hint="eastAsia" w:ascii="仿宋_GB2312" w:eastAsia="仿宋_GB2312" w:cs="仿宋_GB2312"/>
          <w:i w:val="0"/>
          <w:sz w:val="32"/>
          <w:szCs w:val="32"/>
        </w:rPr>
        <w:t>202</w:t>
      </w:r>
      <w:r>
        <w:rPr>
          <w:rFonts w:hint="eastAsia" w:ascii="仿宋_GB2312" w:eastAsia="仿宋_GB2312" w:cs="仿宋_GB2312"/>
          <w:i w:val="0"/>
          <w:sz w:val="32"/>
          <w:szCs w:val="32"/>
          <w:lang w:val="en-US" w:eastAsia="zh-CN"/>
        </w:rPr>
        <w:t>2</w:t>
      </w:r>
      <w:r>
        <w:rPr>
          <w:rFonts w:hint="eastAsia" w:ascii="仿宋_GB2312" w:eastAsia="仿宋_GB2312" w:cs="仿宋_GB2312"/>
          <w:i w:val="0"/>
          <w:sz w:val="32"/>
          <w:szCs w:val="32"/>
        </w:rPr>
        <w:t>年</w:t>
      </w:r>
      <w:r>
        <w:rPr>
          <w:rFonts w:hint="eastAsia" w:ascii="仿宋_GB2312" w:eastAsia="仿宋_GB2312" w:cs="仿宋_GB2312"/>
          <w:i w:val="0"/>
          <w:color w:val="00000A"/>
          <w:spacing w:val="0"/>
          <w:sz w:val="32"/>
          <w:szCs w:val="32"/>
        </w:rPr>
        <w:t>下降</w:t>
      </w:r>
      <w:r>
        <w:rPr>
          <w:rFonts w:hint="eastAsia" w:ascii="仿宋_GB2312" w:eastAsia="仿宋_GB2312" w:cs="仿宋_GB2312"/>
          <w:b w:val="0"/>
          <w:i w:val="0"/>
          <w:color w:val="000000"/>
          <w:spacing w:val="0"/>
          <w:sz w:val="32"/>
          <w:szCs w:val="32"/>
          <w:lang w:val="en-US" w:eastAsia="zh-CN"/>
        </w:rPr>
        <w:t>6</w:t>
      </w:r>
      <w:r>
        <w:rPr>
          <w:rFonts w:hint="eastAsia" w:ascii="仿宋_GB2312" w:eastAsia="仿宋_GB2312" w:cs="仿宋_GB2312"/>
          <w:b w:val="0"/>
          <w:i w:val="0"/>
          <w:color w:val="000000"/>
          <w:spacing w:val="0"/>
          <w:sz w:val="32"/>
          <w:szCs w:val="32"/>
        </w:rPr>
        <w:t>.</w:t>
      </w:r>
      <w:r>
        <w:rPr>
          <w:rFonts w:hint="eastAsia" w:ascii="仿宋_GB2312" w:eastAsia="仿宋_GB2312" w:cs="仿宋_GB2312"/>
          <w:b w:val="0"/>
          <w:i w:val="0"/>
          <w:color w:val="000000"/>
          <w:spacing w:val="0"/>
          <w:sz w:val="32"/>
          <w:szCs w:val="32"/>
          <w:lang w:val="en-US" w:eastAsia="zh-CN"/>
        </w:rPr>
        <w:t>5</w:t>
      </w:r>
      <w:r>
        <w:rPr>
          <w:rFonts w:hint="eastAsia" w:ascii="仿宋_GB2312" w:eastAsia="仿宋_GB2312" w:cs="仿宋_GB2312"/>
          <w:b w:val="0"/>
          <w:i w:val="0"/>
          <w:color w:val="000000"/>
          <w:spacing w:val="0"/>
          <w:sz w:val="32"/>
          <w:szCs w:val="32"/>
        </w:rPr>
        <w:t>%</w:t>
      </w:r>
      <w:r>
        <w:rPr>
          <w:rFonts w:hint="eastAsia" w:ascii="仿宋_GB2312" w:eastAsia="仿宋_GB2312" w:cs="仿宋_GB2312"/>
          <w:i w:val="0"/>
          <w:color w:val="00000A"/>
          <w:spacing w:val="0"/>
          <w:sz w:val="32"/>
          <w:szCs w:val="32"/>
        </w:rPr>
        <w:t>。</w:t>
      </w:r>
    </w:p>
    <w:p>
      <w:pPr>
        <w:pStyle w:val="2"/>
        <w:keepNext w:val="0"/>
        <w:keepLines w:val="0"/>
        <w:widowControl/>
        <w:suppressLineNumbers w:val="0"/>
        <w:spacing w:before="274" w:beforeAutospacing="0" w:after="274" w:afterAutospacing="0" w:line="619" w:lineRule="atLeast"/>
        <w:ind w:left="0" w:firstLine="317"/>
        <w:jc w:val="both"/>
      </w:pPr>
      <w:r>
        <w:rPr>
          <w:rFonts w:hint="eastAsia" w:ascii="楷体_GB2312" w:eastAsia="楷体_GB2312" w:cs="楷体_GB2312"/>
          <w:i w:val="0"/>
          <w:color w:val="000000"/>
          <w:spacing w:val="0"/>
          <w:sz w:val="32"/>
          <w:szCs w:val="32"/>
        </w:rPr>
        <w:t>　</w:t>
      </w:r>
      <w:r>
        <w:rPr>
          <w:rFonts w:hint="eastAsia" w:ascii="楷体_GB2312" w:eastAsia="楷体_GB2312" w:cs="楷体_GB2312"/>
          <w:i w:val="0"/>
          <w:sz w:val="32"/>
          <w:szCs w:val="32"/>
        </w:rPr>
        <w:t>2、</w:t>
      </w:r>
      <w:r>
        <w:rPr>
          <w:rFonts w:hint="eastAsia" w:ascii="楷体_GB2312" w:eastAsia="楷体_GB2312" w:cs="楷体_GB2312"/>
          <w:i w:val="0"/>
          <w:color w:val="000000"/>
          <w:spacing w:val="0"/>
          <w:sz w:val="32"/>
          <w:szCs w:val="32"/>
        </w:rPr>
        <w:t>通过不同渠道和方式公开政府信息的情况</w:t>
      </w:r>
    </w:p>
    <w:p>
      <w:pPr>
        <w:pStyle w:val="2"/>
        <w:keepNext w:val="0"/>
        <w:keepLines w:val="0"/>
        <w:widowControl/>
        <w:suppressLineNumbers w:val="0"/>
        <w:spacing w:after="274" w:afterAutospacing="0" w:line="619" w:lineRule="atLeast"/>
        <w:ind w:left="0" w:firstLine="634"/>
        <w:jc w:val="left"/>
        <w:rPr>
          <w:rFonts w:hint="eastAsia" w:ascii="仿宋_GB2312" w:eastAsia="仿宋_GB2312" w:cs="仿宋_GB2312"/>
          <w:i w:val="0"/>
          <w:sz w:val="32"/>
          <w:szCs w:val="32"/>
        </w:rPr>
      </w:pPr>
      <w:r>
        <w:rPr>
          <w:rFonts w:hint="eastAsia" w:ascii="仿宋_GB2312" w:eastAsia="仿宋_GB2312" w:cs="仿宋_GB2312"/>
          <w:i w:val="0"/>
          <w:color w:val="000000"/>
          <w:spacing w:val="0"/>
          <w:sz w:val="32"/>
          <w:szCs w:val="32"/>
        </w:rPr>
        <w:t>202</w:t>
      </w:r>
      <w:r>
        <w:rPr>
          <w:rFonts w:hint="eastAsia" w:ascii="仿宋_GB2312" w:eastAsia="仿宋_GB2312" w:cs="仿宋_GB2312"/>
          <w:i w:val="0"/>
          <w:color w:val="000000"/>
          <w:spacing w:val="0"/>
          <w:sz w:val="32"/>
          <w:szCs w:val="32"/>
          <w:lang w:val="en-US" w:eastAsia="zh-CN"/>
        </w:rPr>
        <w:t>3</w:t>
      </w:r>
      <w:r>
        <w:rPr>
          <w:rFonts w:hint="eastAsia" w:ascii="仿宋_GB2312" w:eastAsia="仿宋_GB2312" w:cs="仿宋_GB2312"/>
          <w:i w:val="0"/>
          <w:sz w:val="32"/>
          <w:szCs w:val="32"/>
        </w:rPr>
        <w:t>年高新规划中心通过高新区政府门户网站公开政府信息62条，其中部门工作动态类信息26条，机构职能、部门办公会议、民生实事落实等其他类信息36条；通过枣庄市自然资源和规划局官方网站公开建设项目公示信息39条。</w:t>
      </w:r>
    </w:p>
    <w:p>
      <w:pPr>
        <w:pStyle w:val="2"/>
        <w:keepNext w:val="0"/>
        <w:keepLines w:val="0"/>
        <w:widowControl/>
        <w:suppressLineNumbers w:val="0"/>
        <w:spacing w:before="274" w:beforeAutospacing="0" w:after="274" w:afterAutospacing="0" w:line="619" w:lineRule="atLeast"/>
        <w:ind w:left="0" w:firstLine="648"/>
        <w:jc w:val="both"/>
      </w:pPr>
      <w:r>
        <w:rPr>
          <w:rFonts w:hint="eastAsia" w:ascii="楷体_GB2312" w:eastAsia="楷体_GB2312" w:cs="楷体_GB2312"/>
          <w:i w:val="0"/>
          <w:color w:val="000000"/>
          <w:spacing w:val="0"/>
          <w:sz w:val="32"/>
          <w:szCs w:val="32"/>
        </w:rPr>
        <w:t>（二）依申请公开情况</w:t>
      </w:r>
    </w:p>
    <w:p>
      <w:pPr>
        <w:pStyle w:val="2"/>
        <w:keepNext w:val="0"/>
        <w:keepLines w:val="0"/>
        <w:widowControl/>
        <w:suppressLineNumbers w:val="0"/>
        <w:spacing w:before="274" w:beforeAutospacing="0" w:after="274" w:afterAutospacing="0" w:line="619" w:lineRule="atLeast"/>
        <w:ind w:left="0" w:firstLine="648"/>
        <w:jc w:val="both"/>
      </w:pPr>
      <w:r>
        <w:rPr>
          <w:rFonts w:hint="eastAsia" w:ascii="仿宋_GB2312" w:eastAsia="仿宋_GB2312" w:cs="仿宋_GB2312"/>
          <w:i w:val="0"/>
          <w:color w:val="000000"/>
          <w:spacing w:val="0"/>
          <w:sz w:val="32"/>
          <w:szCs w:val="32"/>
        </w:rPr>
        <w:t>高新规划中心</w:t>
      </w:r>
      <w:r>
        <w:rPr>
          <w:rFonts w:hint="eastAsia" w:ascii="仿宋_GB2312" w:eastAsia="仿宋_GB2312" w:cs="仿宋_GB2312"/>
          <w:i w:val="0"/>
          <w:color w:val="000000"/>
          <w:spacing w:val="0"/>
          <w:sz w:val="32"/>
          <w:szCs w:val="32"/>
          <w:lang w:eastAsia="zh-CN"/>
        </w:rPr>
        <w:t>未</w:t>
      </w:r>
      <w:r>
        <w:rPr>
          <w:rFonts w:hint="eastAsia" w:ascii="仿宋_GB2312" w:eastAsia="仿宋_GB2312" w:cs="仿宋_GB2312"/>
          <w:i w:val="0"/>
          <w:color w:val="000000"/>
          <w:spacing w:val="0"/>
          <w:sz w:val="32"/>
          <w:szCs w:val="32"/>
        </w:rPr>
        <w:t>收到政府信息公开申请</w:t>
      </w:r>
      <w:r>
        <w:rPr>
          <w:rFonts w:hint="eastAsia" w:ascii="仿宋_GB2312" w:eastAsia="仿宋_GB2312" w:cs="仿宋_GB2312"/>
          <w:i w:val="0"/>
          <w:color w:val="000000"/>
          <w:spacing w:val="0"/>
          <w:sz w:val="32"/>
          <w:szCs w:val="32"/>
          <w:lang w:eastAsia="zh-CN"/>
        </w:rPr>
        <w:t>件</w:t>
      </w:r>
      <w:r>
        <w:rPr>
          <w:rFonts w:hint="eastAsia" w:ascii="仿宋_GB2312" w:eastAsia="仿宋_GB2312" w:cs="仿宋_GB2312"/>
          <w:i w:val="0"/>
          <w:color w:val="000000"/>
          <w:spacing w:val="0"/>
          <w:sz w:val="32"/>
          <w:szCs w:val="32"/>
        </w:rPr>
        <w:t>。</w:t>
      </w:r>
      <w:bookmarkStart w:id="10" w:name="_GoBack"/>
      <w:bookmarkEnd w:id="10"/>
    </w:p>
    <w:p>
      <w:pPr>
        <w:pStyle w:val="2"/>
        <w:keepNext w:val="0"/>
        <w:keepLines w:val="0"/>
        <w:widowControl/>
        <w:suppressLineNumbers w:val="0"/>
        <w:spacing w:before="274" w:beforeAutospacing="0" w:after="274" w:afterAutospacing="0" w:line="619" w:lineRule="atLeast"/>
        <w:ind w:left="0" w:firstLine="648"/>
        <w:jc w:val="left"/>
      </w:pPr>
      <w:r>
        <w:rPr>
          <w:rFonts w:hint="eastAsia" w:ascii="楷体_GB2312" w:eastAsia="楷体_GB2312" w:cs="楷体_GB2312"/>
          <w:i w:val="0"/>
          <w:color w:val="000000"/>
          <w:spacing w:val="0"/>
          <w:sz w:val="32"/>
          <w:szCs w:val="32"/>
        </w:rPr>
        <w:t>（三）政府信息管理情况</w:t>
      </w:r>
    </w:p>
    <w:p>
      <w:pPr>
        <w:pStyle w:val="2"/>
        <w:keepNext w:val="0"/>
        <w:keepLines w:val="0"/>
        <w:widowControl/>
        <w:suppressLineNumbers w:val="0"/>
        <w:spacing w:before="274" w:beforeAutospacing="0" w:after="274" w:afterAutospacing="0" w:line="619" w:lineRule="atLeast"/>
        <w:ind w:left="0" w:firstLine="648"/>
        <w:jc w:val="both"/>
      </w:pPr>
      <w:r>
        <w:rPr>
          <w:rFonts w:hint="eastAsia" w:ascii="仿宋_GB2312" w:eastAsia="仿宋_GB2312" w:cs="仿宋_GB2312"/>
          <w:i w:val="0"/>
          <w:color w:val="000000"/>
          <w:spacing w:val="0"/>
          <w:sz w:val="32"/>
          <w:szCs w:val="32"/>
        </w:rPr>
        <w:t>进一步加强组织领导，将政府信息公开工作责任到人，办公室负责人兼职政府信息公开工作，“每月一体检”，切实抓好政务公开网站个人信息安全、错敏词排查等工作，进一步提高政务公开信息上传的质量，确保中心网站运行安全和信息安全。政府信息公开工作的积极性、主动性不断提高，政府工作透明度进一步增强。 </w:t>
      </w:r>
    </w:p>
    <w:p>
      <w:pPr>
        <w:pStyle w:val="2"/>
        <w:keepNext w:val="0"/>
        <w:keepLines w:val="0"/>
        <w:widowControl/>
        <w:suppressLineNumbers w:val="0"/>
        <w:spacing w:before="274" w:beforeAutospacing="0" w:after="274" w:afterAutospacing="0" w:line="619" w:lineRule="atLeast"/>
        <w:ind w:left="0" w:firstLine="648"/>
        <w:jc w:val="both"/>
      </w:pPr>
      <w:r>
        <w:rPr>
          <w:rFonts w:hint="eastAsia" w:ascii="楷体_GB2312" w:eastAsia="楷体_GB2312" w:cs="楷体_GB2312"/>
          <w:sz w:val="32"/>
          <w:szCs w:val="32"/>
        </w:rPr>
        <w:t>（四）政府信息平台建设情况</w:t>
      </w:r>
    </w:p>
    <w:p>
      <w:pPr>
        <w:pStyle w:val="2"/>
        <w:keepNext w:val="0"/>
        <w:keepLines w:val="0"/>
        <w:widowControl/>
        <w:suppressLineNumbers w:val="0"/>
        <w:spacing w:before="274" w:beforeAutospacing="0" w:after="274" w:afterAutospacing="0" w:line="619" w:lineRule="atLeast"/>
        <w:ind w:left="0" w:firstLine="648"/>
        <w:jc w:val="both"/>
      </w:pPr>
      <w:r>
        <w:rPr>
          <w:rFonts w:hint="eastAsia" w:ascii="仿宋_GB2312" w:eastAsia="仿宋_GB2312" w:cs="仿宋_GB2312"/>
          <w:sz w:val="32"/>
          <w:szCs w:val="32"/>
        </w:rPr>
        <w:t>按照高新区管委会政府信息公开工作主管部门统一部署，规划中心规范设置政府信息公开专栏，加强政府信息公开年报、法定主动公开</w:t>
      </w:r>
      <w:r>
        <w:rPr>
          <w:rFonts w:hint="eastAsia" w:ascii="仿宋_GB2312" w:eastAsia="仿宋_GB2312" w:cs="仿宋_GB2312"/>
          <w:sz w:val="32"/>
          <w:szCs w:val="32"/>
          <w:lang w:eastAsia="zh-CN"/>
        </w:rPr>
        <w:t>栏目内容</w:t>
      </w:r>
      <w:r>
        <w:rPr>
          <w:rFonts w:hint="eastAsia" w:ascii="仿宋_GB2312" w:eastAsia="仿宋_GB2312" w:cs="仿宋_GB2312"/>
          <w:sz w:val="32"/>
          <w:szCs w:val="32"/>
        </w:rPr>
        <w:t>等政府信息资源的梳理、归集、发布；及时更新机构职能栏目基本信息；同时优化栏目页面设置，运用数据统计图、反向关联等方式展示相关内容。202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hint="eastAsia" w:ascii="仿宋_GB2312" w:eastAsia="仿宋_GB2312" w:cs="仿宋_GB2312"/>
          <w:sz w:val="32"/>
          <w:szCs w:val="32"/>
          <w:lang w:eastAsia="zh-CN"/>
        </w:rPr>
        <w:t>规划</w:t>
      </w:r>
      <w:r>
        <w:rPr>
          <w:rFonts w:hint="eastAsia" w:ascii="仿宋_GB2312" w:eastAsia="仿宋_GB2312" w:cs="仿宋_GB2312"/>
          <w:sz w:val="32"/>
          <w:szCs w:val="32"/>
        </w:rPr>
        <w:t>中心举办政务公开工作</w:t>
      </w:r>
      <w:r>
        <w:rPr>
          <w:rFonts w:hint="eastAsia" w:ascii="仿宋_GB2312" w:eastAsia="仿宋_GB2312" w:cs="仿宋_GB2312"/>
          <w:sz w:val="32"/>
          <w:szCs w:val="32"/>
          <w:lang w:eastAsia="zh-CN"/>
        </w:rPr>
        <w:t>学习</w:t>
      </w:r>
      <w:r>
        <w:rPr>
          <w:rFonts w:hint="eastAsia" w:ascii="仿宋_GB2312" w:eastAsia="仿宋_GB2312" w:cs="仿宋_GB2312"/>
          <w:sz w:val="32"/>
          <w:szCs w:val="32"/>
        </w:rPr>
        <w:t>培训会1次。</w:t>
      </w:r>
    </w:p>
    <w:p>
      <w:pPr>
        <w:pStyle w:val="2"/>
        <w:keepNext w:val="0"/>
        <w:keepLines w:val="0"/>
        <w:widowControl/>
        <w:suppressLineNumbers w:val="0"/>
        <w:spacing w:before="274" w:beforeAutospacing="0" w:after="274" w:afterAutospacing="0" w:line="619" w:lineRule="atLeast"/>
        <w:ind w:left="0" w:firstLine="648"/>
        <w:jc w:val="both"/>
      </w:pPr>
      <w:r>
        <w:rPr>
          <w:rFonts w:hint="eastAsia" w:ascii="楷体_GB2312" w:eastAsia="楷体_GB2312" w:cs="楷体_GB2312"/>
          <w:i w:val="0"/>
          <w:color w:val="000000"/>
          <w:spacing w:val="0"/>
          <w:sz w:val="32"/>
          <w:szCs w:val="32"/>
        </w:rPr>
        <w:t>（五）监督保障情况</w:t>
      </w:r>
    </w:p>
    <w:p>
      <w:pPr>
        <w:pStyle w:val="2"/>
        <w:keepNext w:val="0"/>
        <w:keepLines w:val="0"/>
        <w:widowControl/>
        <w:suppressLineNumbers w:val="0"/>
        <w:spacing w:before="274" w:beforeAutospacing="0" w:after="274" w:afterAutospacing="0" w:line="619" w:lineRule="atLeast"/>
        <w:ind w:left="0" w:firstLine="648"/>
        <w:jc w:val="both"/>
        <w:rPr>
          <w:rFonts w:hint="eastAsia" w:ascii="仿宋_GB2312" w:eastAsia="仿宋_GB2312" w:cs="仿宋_GB2312"/>
          <w:i w:val="0"/>
          <w:color w:val="000000"/>
          <w:spacing w:val="0"/>
          <w:sz w:val="31"/>
          <w:szCs w:val="31"/>
        </w:rPr>
      </w:pPr>
      <w:r>
        <w:rPr>
          <w:rFonts w:hint="eastAsia" w:ascii="仿宋_GB2312" w:eastAsia="仿宋_GB2312" w:cs="仿宋_GB2312"/>
          <w:i w:val="0"/>
          <w:color w:val="000000"/>
          <w:spacing w:val="0"/>
          <w:sz w:val="31"/>
          <w:szCs w:val="31"/>
          <w:lang w:eastAsia="zh-CN"/>
        </w:rPr>
        <w:t>参加</w:t>
      </w:r>
      <w:r>
        <w:rPr>
          <w:rFonts w:hint="eastAsia" w:ascii="仿宋_GB2312" w:eastAsia="仿宋_GB2312" w:cs="仿宋_GB2312"/>
          <w:i w:val="0"/>
          <w:color w:val="000000"/>
          <w:spacing w:val="0"/>
          <w:sz w:val="31"/>
          <w:szCs w:val="31"/>
        </w:rPr>
        <w:t>政府信息公开、政务公开工作考核等培训会，进一步</w:t>
      </w:r>
    </w:p>
    <w:p>
      <w:pPr>
        <w:pStyle w:val="2"/>
        <w:keepNext w:val="0"/>
        <w:keepLines w:val="0"/>
        <w:widowControl/>
        <w:suppressLineNumbers w:val="0"/>
        <w:spacing w:before="274" w:beforeAutospacing="0" w:after="274" w:afterAutospacing="0" w:line="619" w:lineRule="atLeast"/>
        <w:ind w:left="0" w:firstLine="648"/>
        <w:jc w:val="both"/>
      </w:pPr>
      <w:r>
        <w:rPr>
          <w:rFonts w:hint="eastAsia" w:ascii="仿宋_GB2312" w:eastAsia="仿宋_GB2312" w:cs="仿宋_GB2312"/>
          <w:i w:val="0"/>
          <w:color w:val="000000"/>
          <w:spacing w:val="0"/>
          <w:sz w:val="31"/>
          <w:szCs w:val="31"/>
        </w:rPr>
        <w:t>提升了工作人员的相关业务能力和水平；按照区党政办的工作要求，采取政务公开工作每季度一考核，规划中心认真对照考核标准，保质保量完成各项考核任务，不仅促进了本中心政府信息公开工作规范有序开展，同时也为下一步工作指明了方向。</w:t>
      </w:r>
    </w:p>
    <w:p>
      <w:pPr>
        <w:pStyle w:val="2"/>
        <w:keepNext w:val="0"/>
        <w:keepLines w:val="0"/>
        <w:widowControl/>
        <w:suppressLineNumbers w:val="0"/>
        <w:spacing w:before="0" w:beforeAutospacing="1" w:after="0" w:afterAutospacing="0" w:line="195" w:lineRule="atLeast"/>
        <w:ind w:left="0" w:right="0"/>
        <w:jc w:val="left"/>
        <w:rPr>
          <w:sz w:val="19"/>
          <w:szCs w:val="19"/>
        </w:rPr>
      </w:pPr>
      <w:r>
        <w:rPr>
          <w:rFonts w:hint="eastAsia" w:ascii="黑体" w:hAnsi="宋体" w:eastAsia="黑体" w:cs="黑体"/>
          <w:sz w:val="32"/>
          <w:szCs w:val="32"/>
        </w:rPr>
        <w:t>    二、主动公开政府信息情况</w:t>
      </w:r>
    </w:p>
    <w:tbl>
      <w:tblPr>
        <w:tblStyle w:val="3"/>
        <w:tblW w:w="883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039"/>
        <w:gridCol w:w="2054"/>
        <w:gridCol w:w="2054"/>
        <w:gridCol w:w="268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color w:val="000000"/>
                <w:sz w:val="19"/>
                <w:szCs w:val="19"/>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信息内容</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本年制发件数</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本年废止件数</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19"/>
                <w:szCs w:val="19"/>
              </w:rPr>
            </w:pPr>
            <w:r>
              <w:rPr>
                <w:rFonts w:hint="eastAsia" w:ascii="仿宋_GB2312" w:eastAsia="仿宋_GB2312" w:cs="仿宋_GB2312"/>
                <w:color w:val="000000"/>
                <w:sz w:val="19"/>
                <w:szCs w:val="19"/>
              </w:rPr>
              <w:t>规章</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19"/>
                <w:szCs w:val="19"/>
              </w:rPr>
            </w:pPr>
            <w:r>
              <w:rPr>
                <w:rFonts w:hint="eastAsia" w:ascii="仿宋_GB2312" w:eastAsia="仿宋_GB2312" w:cs="仿宋_GB2312"/>
                <w:color w:val="000000"/>
                <w:sz w:val="19"/>
                <w:szCs w:val="19"/>
              </w:rPr>
              <w:t>行政规范性文件</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color w:val="000000"/>
                <w:sz w:val="19"/>
                <w:szCs w:val="19"/>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19"/>
                <w:szCs w:val="19"/>
              </w:rPr>
            </w:pPr>
            <w:r>
              <w:rPr>
                <w:rFonts w:hint="eastAsia" w:ascii="仿宋_GB2312" w:eastAsia="仿宋_GB2312" w:cs="仿宋_GB2312"/>
                <w:color w:val="000000"/>
                <w:sz w:val="19"/>
                <w:szCs w:val="19"/>
              </w:rPr>
              <w:t>行政许可</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color w:val="000000"/>
                <w:sz w:val="19"/>
                <w:szCs w:val="19"/>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19"/>
                <w:szCs w:val="19"/>
              </w:rPr>
            </w:pPr>
            <w:r>
              <w:rPr>
                <w:rFonts w:hint="eastAsia" w:ascii="仿宋_GB2312" w:eastAsia="仿宋_GB2312" w:cs="仿宋_GB2312"/>
                <w:color w:val="000000"/>
                <w:sz w:val="19"/>
                <w:szCs w:val="19"/>
              </w:rPr>
              <w:t>行政处罚</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19"/>
                <w:szCs w:val="19"/>
              </w:rPr>
            </w:pPr>
            <w:r>
              <w:rPr>
                <w:rFonts w:hint="eastAsia" w:ascii="仿宋_GB2312" w:eastAsia="仿宋_GB2312" w:cs="仿宋_GB2312"/>
                <w:color w:val="000000"/>
                <w:sz w:val="19"/>
                <w:szCs w:val="19"/>
              </w:rPr>
              <w:t>行政强制</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color w:val="000000"/>
                <w:sz w:val="19"/>
                <w:szCs w:val="19"/>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60" w:hRule="atLeast"/>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19"/>
                <w:szCs w:val="19"/>
              </w:rPr>
            </w:pPr>
            <w:r>
              <w:rPr>
                <w:rFonts w:hint="eastAsia" w:ascii="仿宋_GB2312" w:eastAsia="仿宋_GB2312" w:cs="仿宋_GB2312"/>
                <w:color w:val="000000"/>
                <w:sz w:val="19"/>
                <w:szCs w:val="19"/>
              </w:rPr>
              <w:t>行政事业性收费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color w:val="000000"/>
                <w:sz w:val="19"/>
                <w:szCs w:val="19"/>
              </w:rPr>
              <w:t>0</w:t>
            </w:r>
          </w:p>
        </w:tc>
      </w:tr>
    </w:tbl>
    <w:p>
      <w:pPr>
        <w:pStyle w:val="2"/>
        <w:keepNext w:val="0"/>
        <w:keepLines w:val="0"/>
        <w:widowControl/>
        <w:suppressLineNumbers w:val="0"/>
        <w:spacing w:before="0" w:beforeAutospacing="1" w:after="0" w:afterAutospacing="0" w:line="195" w:lineRule="atLeast"/>
        <w:ind w:left="0" w:right="0"/>
        <w:jc w:val="both"/>
        <w:rPr>
          <w:sz w:val="19"/>
          <w:szCs w:val="19"/>
        </w:rPr>
      </w:pPr>
      <w:r>
        <w:rPr>
          <w:rFonts w:hint="eastAsia" w:ascii="黑体" w:hAnsi="宋体" w:eastAsia="黑体" w:cs="黑体"/>
          <w:sz w:val="32"/>
          <w:szCs w:val="32"/>
        </w:rPr>
        <w:t>   三、收到和处理政府信息公开申请情况</w:t>
      </w:r>
    </w:p>
    <w:tbl>
      <w:tblPr>
        <w:tblStyle w:val="3"/>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96"/>
        <w:gridCol w:w="1901"/>
        <w:gridCol w:w="3444"/>
        <w:gridCol w:w="908"/>
        <w:gridCol w:w="617"/>
        <w:gridCol w:w="617"/>
        <w:gridCol w:w="805"/>
        <w:gridCol w:w="771"/>
        <w:gridCol w:w="737"/>
        <w:gridCol w:w="111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55" w:type="dxa"/>
            <w:gridSpan w:val="3"/>
            <w:vMerge w:val="restart"/>
            <w:tcBorders>
              <w:top w:val="single" w:color="00000A" w:sz="8"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楷体_GB2312" w:eastAsia="楷体_GB2312" w:cs="楷体_GB2312"/>
                <w:sz w:val="19"/>
                <w:szCs w:val="19"/>
              </w:rPr>
              <w:t>（本列数据的勾稽关系为：第一项加第二项之和，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楷体_GB2312" w:eastAsia="楷体_GB2312" w:cs="楷体_GB2312"/>
                <w:sz w:val="19"/>
                <w:szCs w:val="19"/>
              </w:rPr>
              <w:t>等于第三项加第四项之和）</w:t>
            </w:r>
          </w:p>
        </w:tc>
        <w:tc>
          <w:tcPr>
            <w:tcW w:w="4770" w:type="dxa"/>
            <w:gridSpan w:val="7"/>
            <w:tcBorders>
              <w:top w:val="single" w:color="00000A" w:sz="8"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055" w:type="dxa"/>
            <w:gridSpan w:val="3"/>
            <w:vMerge w:val="continue"/>
            <w:tcBorders>
              <w:top w:val="single" w:color="00000A" w:sz="8"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795" w:type="dxa"/>
            <w:vMerge w:val="restart"/>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自然人</w:t>
            </w:r>
          </w:p>
        </w:tc>
        <w:tc>
          <w:tcPr>
            <w:tcW w:w="3105" w:type="dxa"/>
            <w:gridSpan w:val="5"/>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法人或其他组织</w:t>
            </w:r>
          </w:p>
        </w:tc>
        <w:tc>
          <w:tcPr>
            <w:tcW w:w="810" w:type="dxa"/>
            <w:vMerge w:val="restart"/>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055" w:type="dxa"/>
            <w:gridSpan w:val="3"/>
            <w:vMerge w:val="continue"/>
            <w:tcBorders>
              <w:top w:val="single" w:color="00000A" w:sz="8"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79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sz w:val="19"/>
                <w:szCs w:val="19"/>
              </w:rPr>
            </w:pPr>
            <w:r>
              <w:rPr>
                <w:rFonts w:hint="eastAsia" w:ascii="黑体" w:hAnsi="宋体" w:eastAsia="黑体" w:cs="黑体"/>
                <w:sz w:val="19"/>
                <w:szCs w:val="19"/>
              </w:rPr>
              <w:t>商业企业</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科研机构</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社会公益组织</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sz w:val="19"/>
                <w:szCs w:val="19"/>
              </w:rPr>
            </w:pPr>
            <w:r>
              <w:rPr>
                <w:rFonts w:hint="eastAsia" w:ascii="黑体" w:hAnsi="宋体" w:eastAsia="黑体" w:cs="黑体"/>
                <w:sz w:val="19"/>
                <w:szCs w:val="19"/>
              </w:rPr>
              <w:t>法律服务机构</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其他</w:t>
            </w:r>
          </w:p>
        </w:tc>
        <w:tc>
          <w:tcPr>
            <w:tcW w:w="810" w:type="dxa"/>
            <w:vMerge w:val="continue"/>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055" w:type="dxa"/>
            <w:gridSpan w:val="3"/>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0" w:name="_Hlk66973412"/>
            <w:bookmarkEnd w:id="0"/>
            <w:r>
              <w:rPr>
                <w:rFonts w:hint="eastAsia" w:ascii="黑体" w:hAnsi="宋体" w:eastAsia="黑体" w:cs="黑体"/>
                <w:sz w:val="19"/>
                <w:szCs w:val="19"/>
              </w:rPr>
              <w:t>一、本年新收政府信息公开申请数量</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sz w:val="19"/>
                <w:szCs w:val="19"/>
                <w:lang w:eastAsia="zh-CN"/>
              </w:rPr>
            </w:pPr>
            <w:r>
              <w:rPr>
                <w:rFonts w:hint="eastAsia" w:ascii="仿宋_GB2312" w:eastAsia="仿宋_GB2312" w:cs="仿宋_GB2312"/>
                <w:sz w:val="19"/>
                <w:szCs w:val="19"/>
                <w:lang w:val="en-US" w:eastAsia="zh-CN"/>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sz w:val="19"/>
                <w:szCs w:val="19"/>
                <w:lang w:eastAsia="zh-CN"/>
              </w:rPr>
            </w:pPr>
            <w:r>
              <w:rPr>
                <w:rFonts w:hint="eastAsia" w:ascii="仿宋_GB2312" w:eastAsia="仿宋_GB2312" w:cs="仿宋_GB2312"/>
                <w:sz w:val="19"/>
                <w:szCs w:val="19"/>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055" w:type="dxa"/>
            <w:gridSpan w:val="3"/>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二、上年结转政府信息公开申请数量</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restart"/>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三、本年度办理结果</w:t>
            </w:r>
          </w:p>
        </w:tc>
        <w:tc>
          <w:tcPr>
            <w:tcW w:w="4650" w:type="dxa"/>
            <w:gridSpan w:val="2"/>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（一）予以公开</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4650" w:type="dxa"/>
            <w:gridSpan w:val="2"/>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1" w:name="_Hlk66973981"/>
            <w:bookmarkEnd w:id="1"/>
            <w:r>
              <w:rPr>
                <w:rFonts w:hint="eastAsia" w:ascii="黑体" w:hAnsi="宋体" w:eastAsia="黑体" w:cs="黑体"/>
                <w:sz w:val="19"/>
                <w:szCs w:val="19"/>
              </w:rPr>
              <w:t>（二）部分公开（区分处理的，只计这一情形，不计其他情形）</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restart"/>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（三）不予公开</w:t>
            </w: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1.属于国家秘密</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2" w:name="_Hlk66974104"/>
            <w:bookmarkEnd w:id="2"/>
            <w:r>
              <w:rPr>
                <w:rFonts w:hint="eastAsia" w:ascii="仿宋_GB2312" w:eastAsia="仿宋_GB2312" w:cs="仿宋_GB2312"/>
                <w:sz w:val="19"/>
                <w:szCs w:val="19"/>
              </w:rPr>
              <w:t>2.其他法律行政法规禁止公开</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3.危及“三安全一稳定”</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3" w:name="_Hlk66974290"/>
            <w:bookmarkEnd w:id="3"/>
            <w:r>
              <w:rPr>
                <w:rFonts w:hint="eastAsia" w:ascii="仿宋_GB2312" w:eastAsia="仿宋_GB2312" w:cs="仿宋_GB2312"/>
                <w:sz w:val="19"/>
                <w:szCs w:val="19"/>
              </w:rPr>
              <w:t>4.保护第三方合法权益</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5.属于三类内部事务信息</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4" w:name="_Hlk66974555"/>
            <w:bookmarkEnd w:id="4"/>
            <w:r>
              <w:rPr>
                <w:rFonts w:hint="eastAsia" w:ascii="仿宋_GB2312" w:eastAsia="仿宋_GB2312" w:cs="仿宋_GB2312"/>
                <w:sz w:val="19"/>
                <w:szCs w:val="19"/>
              </w:rPr>
              <w:t>6.属于四类过程性信息</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7.属于行政执法案卷</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5" w:name="_Hlk66975211"/>
            <w:bookmarkEnd w:id="5"/>
            <w:r>
              <w:rPr>
                <w:rFonts w:hint="eastAsia" w:ascii="仿宋_GB2312" w:eastAsia="仿宋_GB2312" w:cs="仿宋_GB2312"/>
                <w:sz w:val="19"/>
                <w:szCs w:val="19"/>
              </w:rPr>
              <w:t>8.属于行政查询事项</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restart"/>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（四）无法提供</w:t>
            </w: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1.本机关不掌握相关政府信息</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sz w:val="19"/>
                <w:szCs w:val="19"/>
                <w:lang w:eastAsia="zh-CN"/>
              </w:rPr>
            </w:pPr>
            <w:r>
              <w:rPr>
                <w:rFonts w:hint="eastAsia" w:ascii="仿宋_GB2312" w:eastAsia="仿宋_GB2312" w:cs="仿宋_GB2312"/>
                <w:sz w:val="19"/>
                <w:szCs w:val="19"/>
                <w:lang w:val="en-US" w:eastAsia="zh-CN"/>
              </w:rPr>
              <w:t>1</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sz w:val="19"/>
                <w:szCs w:val="19"/>
                <w:lang w:eastAsia="zh-CN"/>
              </w:rPr>
            </w:pPr>
            <w:r>
              <w:rPr>
                <w:rFonts w:hint="eastAsia" w:ascii="仿宋_GB2312" w:eastAsia="仿宋_GB2312" w:cs="仿宋_GB2312"/>
                <w:sz w:val="19"/>
                <w:szCs w:val="19"/>
                <w:lang w:val="en-US"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6" w:name="_Hlk66975392"/>
            <w:bookmarkEnd w:id="6"/>
            <w:r>
              <w:rPr>
                <w:rFonts w:hint="eastAsia" w:ascii="仿宋_GB2312" w:eastAsia="仿宋_GB2312" w:cs="仿宋_GB2312"/>
                <w:sz w:val="19"/>
                <w:szCs w:val="19"/>
              </w:rPr>
              <w:t>2.没有现成信息需要另行制作</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7" w:name="_Hlk66975466"/>
            <w:bookmarkEnd w:id="7"/>
            <w:r>
              <w:rPr>
                <w:rFonts w:hint="eastAsia" w:ascii="仿宋_GB2312" w:eastAsia="仿宋_GB2312" w:cs="仿宋_GB2312"/>
                <w:sz w:val="19"/>
                <w:szCs w:val="19"/>
              </w:rPr>
              <w:t>3.补正后申请内容仍不明确</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restart"/>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（五）不予处理</w:t>
            </w: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8" w:name="_Hlk66975537"/>
            <w:bookmarkEnd w:id="8"/>
            <w:r>
              <w:rPr>
                <w:rFonts w:hint="eastAsia" w:ascii="仿宋_GB2312" w:eastAsia="仿宋_GB2312" w:cs="仿宋_GB2312"/>
                <w:sz w:val="19"/>
                <w:szCs w:val="19"/>
              </w:rPr>
              <w:t>1.信访举报投诉类申请</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2.重复申请</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3.要求提供公开出版物</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4.无正当理由大量反复申请</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5.要求行政机关确认或重新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rPr>
                <w:sz w:val="19"/>
                <w:szCs w:val="19"/>
              </w:rPr>
            </w:pPr>
            <w:r>
              <w:rPr>
                <w:rFonts w:hint="eastAsia" w:ascii="仿宋_GB2312" w:eastAsia="仿宋_GB2312" w:cs="仿宋_GB2312"/>
                <w:sz w:val="19"/>
                <w:szCs w:val="19"/>
              </w:rPr>
              <w:t>出具已获取信息</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restart"/>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（六）其他处理</w:t>
            </w: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1.申请人无正当理由逾期不补正、行政机关不再处理其政府信息公开申请</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2.申请人逾期未按收费通知要求缴纳费用、行政机关不再处理其政府信息公开申请</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1665" w:type="dxa"/>
            <w:vMerge w:val="continue"/>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29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4"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3.其他</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30" w:hRule="atLeast"/>
          <w:jc w:val="center"/>
        </w:trPr>
        <w:tc>
          <w:tcPr>
            <w:tcW w:w="375" w:type="dxa"/>
            <w:vMerge w:val="continue"/>
            <w:tcBorders>
              <w:top w:val="single" w:color="00000A" w:sz="6" w:space="0"/>
              <w:left w:val="single" w:color="00000A" w:sz="8" w:space="0"/>
              <w:bottom w:val="single" w:color="00000A" w:sz="6" w:space="0"/>
              <w:right w:val="single" w:color="00000A" w:sz="6"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4650" w:type="dxa"/>
            <w:gridSpan w:val="2"/>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（七）总计</w:t>
            </w:r>
          </w:p>
        </w:tc>
        <w:tc>
          <w:tcPr>
            <w:tcW w:w="79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sz w:val="19"/>
                <w:szCs w:val="19"/>
                <w:lang w:eastAsia="zh-CN"/>
              </w:rPr>
            </w:pPr>
            <w:r>
              <w:rPr>
                <w:rFonts w:hint="eastAsia" w:ascii="仿宋_GB2312" w:eastAsia="仿宋_GB2312" w:cs="仿宋_GB2312"/>
                <w:sz w:val="19"/>
                <w:szCs w:val="19"/>
                <w:lang w:val="en-US" w:eastAsia="zh-CN"/>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6"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Theme="minorEastAsia"/>
                <w:sz w:val="19"/>
                <w:szCs w:val="19"/>
                <w:lang w:eastAsia="zh-CN"/>
              </w:rPr>
            </w:pPr>
            <w:r>
              <w:rPr>
                <w:rFonts w:hint="eastAsia" w:ascii="仿宋_GB2312" w:eastAsia="仿宋_GB2312" w:cs="仿宋_GB2312"/>
                <w:sz w:val="19"/>
                <w:szCs w:val="19"/>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055" w:type="dxa"/>
            <w:gridSpan w:val="3"/>
            <w:tcBorders>
              <w:top w:val="single" w:color="00000A" w:sz="6" w:space="0"/>
              <w:left w:val="single" w:color="00000A" w:sz="8" w:space="0"/>
              <w:bottom w:val="single" w:color="00000A" w:sz="8"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四、结转下年度继续办理</w:t>
            </w:r>
          </w:p>
        </w:tc>
        <w:tc>
          <w:tcPr>
            <w:tcW w:w="795" w:type="dxa"/>
            <w:tcBorders>
              <w:top w:val="single" w:color="00000A" w:sz="6" w:space="0"/>
              <w:left w:val="single" w:color="00000A" w:sz="6" w:space="0"/>
              <w:bottom w:val="single" w:color="00000A" w:sz="8"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8"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8"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05" w:type="dxa"/>
            <w:tcBorders>
              <w:top w:val="single" w:color="00000A" w:sz="6" w:space="0"/>
              <w:left w:val="single" w:color="00000A" w:sz="6" w:space="0"/>
              <w:bottom w:val="single" w:color="00000A" w:sz="8"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675" w:type="dxa"/>
            <w:tcBorders>
              <w:top w:val="single" w:color="00000A" w:sz="6" w:space="0"/>
              <w:left w:val="single" w:color="00000A" w:sz="6" w:space="0"/>
              <w:bottom w:val="single" w:color="00000A" w:sz="8"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540" w:type="dxa"/>
            <w:tcBorders>
              <w:top w:val="single" w:color="00000A" w:sz="6" w:space="0"/>
              <w:left w:val="single" w:color="00000A" w:sz="6" w:space="0"/>
              <w:bottom w:val="single" w:color="00000A" w:sz="8" w:space="0"/>
              <w:right w:val="single" w:color="00000A" w:sz="6"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810" w:type="dxa"/>
            <w:tcBorders>
              <w:top w:val="single" w:color="00000A" w:sz="6" w:space="0"/>
              <w:left w:val="single" w:color="00000A" w:sz="6"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bl>
    <w:p>
      <w:pPr>
        <w:pStyle w:val="2"/>
        <w:keepNext w:val="0"/>
        <w:keepLines w:val="0"/>
        <w:widowControl/>
        <w:suppressLineNumbers w:val="0"/>
        <w:spacing w:before="0" w:beforeAutospacing="1" w:after="0" w:afterAutospacing="0" w:line="195" w:lineRule="atLeast"/>
        <w:ind w:left="0" w:right="0" w:firstLine="317"/>
        <w:jc w:val="both"/>
        <w:rPr>
          <w:rFonts w:hint="eastAsia" w:ascii="黑体" w:hAnsi="宋体" w:eastAsia="黑体" w:cs="黑体"/>
          <w:sz w:val="32"/>
          <w:szCs w:val="32"/>
        </w:rPr>
      </w:pPr>
    </w:p>
    <w:p>
      <w:pPr>
        <w:pStyle w:val="2"/>
        <w:keepNext w:val="0"/>
        <w:keepLines w:val="0"/>
        <w:widowControl/>
        <w:suppressLineNumbers w:val="0"/>
        <w:spacing w:before="0" w:beforeAutospacing="1" w:after="0" w:afterAutospacing="0" w:line="195" w:lineRule="atLeast"/>
        <w:ind w:left="0" w:right="0" w:firstLine="317"/>
        <w:jc w:val="both"/>
        <w:rPr>
          <w:rFonts w:hint="eastAsia" w:ascii="黑体" w:hAnsi="宋体" w:eastAsia="黑体" w:cs="黑体"/>
          <w:sz w:val="32"/>
          <w:szCs w:val="32"/>
        </w:rPr>
      </w:pPr>
    </w:p>
    <w:p>
      <w:pPr>
        <w:pStyle w:val="2"/>
        <w:keepNext w:val="0"/>
        <w:keepLines w:val="0"/>
        <w:widowControl/>
        <w:suppressLineNumbers w:val="0"/>
        <w:spacing w:before="0" w:beforeAutospacing="1" w:after="0" w:afterAutospacing="0" w:line="195" w:lineRule="atLeast"/>
        <w:ind w:left="0" w:right="0" w:firstLine="317"/>
        <w:jc w:val="both"/>
        <w:rPr>
          <w:sz w:val="19"/>
          <w:szCs w:val="19"/>
        </w:rPr>
      </w:pPr>
      <w:r>
        <w:rPr>
          <w:rFonts w:hint="eastAsia" w:ascii="黑体" w:hAnsi="宋体" w:eastAsia="黑体" w:cs="黑体"/>
          <w:sz w:val="32"/>
          <w:szCs w:val="32"/>
        </w:rPr>
        <w:t>  四、政府信息公开行政复议、行政诉讼情况</w:t>
      </w:r>
    </w:p>
    <w:p>
      <w:pPr>
        <w:pStyle w:val="2"/>
        <w:keepNext w:val="0"/>
        <w:keepLines w:val="0"/>
        <w:widowControl/>
        <w:suppressLineNumbers w:val="0"/>
        <w:spacing w:before="0" w:beforeAutospacing="1" w:after="0" w:afterAutospacing="0" w:line="195" w:lineRule="atLeast"/>
        <w:ind w:left="0" w:right="0" w:firstLine="317"/>
        <w:jc w:val="both"/>
        <w:rPr>
          <w:sz w:val="19"/>
          <w:szCs w:val="19"/>
        </w:rPr>
      </w:pPr>
    </w:p>
    <w:tbl>
      <w:tblPr>
        <w:tblStyle w:val="3"/>
        <w:tblW w:w="924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458"/>
        <w:gridCol w:w="415"/>
        <w:gridCol w:w="415"/>
        <w:gridCol w:w="415"/>
        <w:gridCol w:w="1389"/>
        <w:gridCol w:w="367"/>
        <w:gridCol w:w="415"/>
        <w:gridCol w:w="415"/>
        <w:gridCol w:w="415"/>
        <w:gridCol w:w="1325"/>
        <w:gridCol w:w="415"/>
        <w:gridCol w:w="415"/>
        <w:gridCol w:w="415"/>
        <w:gridCol w:w="416"/>
        <w:gridCol w:w="155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271" w:hRule="atLeast"/>
          <w:jc w:val="center"/>
        </w:trPr>
        <w:tc>
          <w:tcPr>
            <w:tcW w:w="2850" w:type="dxa"/>
            <w:gridSpan w:val="5"/>
            <w:tcBorders>
              <w:top w:val="single" w:color="00000A" w:sz="8" w:space="0"/>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19"/>
                <w:szCs w:val="19"/>
              </w:rPr>
            </w:pPr>
            <w:r>
              <w:rPr>
                <w:rFonts w:hint="eastAsia" w:ascii="黑体" w:hAnsi="宋体" w:eastAsia="黑体" w:cs="黑体"/>
                <w:sz w:val="20"/>
                <w:szCs w:val="20"/>
              </w:rPr>
              <w:t>行政复议</w:t>
            </w:r>
          </w:p>
        </w:tc>
        <w:tc>
          <w:tcPr>
            <w:tcW w:w="5775" w:type="dxa"/>
            <w:gridSpan w:val="10"/>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restart"/>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维持</w:t>
            </w:r>
          </w:p>
        </w:tc>
        <w:tc>
          <w:tcPr>
            <w:tcW w:w="390" w:type="dxa"/>
            <w:vMerge w:val="restart"/>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sz w:val="19"/>
                <w:szCs w:val="19"/>
              </w:rPr>
            </w:pPr>
            <w:r>
              <w:rPr>
                <w:rFonts w:hint="eastAsia" w:ascii="黑体" w:hAnsi="宋体" w:eastAsia="黑体" w:cs="黑体"/>
                <w:sz w:val="20"/>
                <w:szCs w:val="20"/>
              </w:rPr>
              <w:t>结果纠正</w:t>
            </w:r>
          </w:p>
        </w:tc>
        <w:tc>
          <w:tcPr>
            <w:tcW w:w="390" w:type="dxa"/>
            <w:vMerge w:val="restart"/>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其他结果</w:t>
            </w:r>
          </w:p>
        </w:tc>
        <w:tc>
          <w:tcPr>
            <w:tcW w:w="390" w:type="dxa"/>
            <w:vMerge w:val="restart"/>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审结</w:t>
            </w:r>
          </w:p>
        </w:tc>
        <w:tc>
          <w:tcPr>
            <w:tcW w:w="450" w:type="dxa"/>
            <w:vMerge w:val="restart"/>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计</w:t>
            </w:r>
          </w:p>
        </w:tc>
        <w:tc>
          <w:tcPr>
            <w:tcW w:w="2760" w:type="dxa"/>
            <w:gridSpan w:val="5"/>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未经复议直接起诉</w:t>
            </w:r>
          </w:p>
        </w:tc>
        <w:tc>
          <w:tcPr>
            <w:tcW w:w="2805" w:type="dxa"/>
            <w:gridSpan w:val="5"/>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bookmarkStart w:id="9" w:name="_Hlk67039688"/>
            <w:bookmarkEnd w:id="9"/>
            <w:r>
              <w:rPr>
                <w:rFonts w:hint="eastAsia" w:ascii="黑体" w:hAnsi="宋体" w:eastAsia="黑体" w:cs="黑体"/>
                <w:sz w:val="20"/>
                <w:szCs w:val="20"/>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vMerge w:val="continue"/>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rPr>
                <w:rFonts w:hint="eastAsia" w:ascii="宋体"/>
                <w:sz w:val="24"/>
                <w:szCs w:val="24"/>
              </w:rPr>
            </w:pPr>
          </w:p>
        </w:tc>
        <w:tc>
          <w:tcPr>
            <w:tcW w:w="390" w:type="dxa"/>
            <w:vMerge w:val="continue"/>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rPr>
                <w:rFonts w:hint="eastAsia" w:ascii="宋体"/>
                <w:sz w:val="24"/>
                <w:szCs w:val="24"/>
              </w:rPr>
            </w:pPr>
          </w:p>
        </w:tc>
        <w:tc>
          <w:tcPr>
            <w:tcW w:w="390" w:type="dxa"/>
            <w:vMerge w:val="continue"/>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rPr>
                <w:rFonts w:hint="eastAsia" w:ascii="宋体"/>
                <w:sz w:val="24"/>
                <w:szCs w:val="24"/>
              </w:rPr>
            </w:pPr>
          </w:p>
        </w:tc>
        <w:tc>
          <w:tcPr>
            <w:tcW w:w="390" w:type="dxa"/>
            <w:vMerge w:val="continue"/>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rPr>
                <w:rFonts w:hint="eastAsia" w:ascii="宋体"/>
                <w:sz w:val="24"/>
                <w:szCs w:val="24"/>
              </w:rPr>
            </w:pPr>
          </w:p>
        </w:tc>
        <w:tc>
          <w:tcPr>
            <w:tcW w:w="450" w:type="dxa"/>
            <w:vMerge w:val="continue"/>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rPr>
                <w:rFonts w:hint="eastAsia" w:ascii="宋体"/>
                <w:sz w:val="24"/>
                <w:szCs w:val="24"/>
              </w:rPr>
            </w:pPr>
          </w:p>
        </w:tc>
        <w:tc>
          <w:tcPr>
            <w:tcW w:w="34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结果维持</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结果纠正</w:t>
            </w:r>
          </w:p>
        </w:tc>
        <w:tc>
          <w:tcPr>
            <w:tcW w:w="390" w:type="dxa"/>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结果</w:t>
            </w:r>
          </w:p>
        </w:tc>
        <w:tc>
          <w:tcPr>
            <w:tcW w:w="390" w:type="dxa"/>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审结</w:t>
            </w:r>
          </w:p>
        </w:tc>
        <w:tc>
          <w:tcPr>
            <w:tcW w:w="390" w:type="dxa"/>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总计</w:t>
            </w:r>
          </w:p>
        </w:tc>
        <w:tc>
          <w:tcPr>
            <w:tcW w:w="390" w:type="dxa"/>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结果维持</w:t>
            </w:r>
          </w:p>
        </w:tc>
        <w:tc>
          <w:tcPr>
            <w:tcW w:w="390" w:type="dxa"/>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纠正</w:t>
            </w:r>
          </w:p>
        </w:tc>
        <w:tc>
          <w:tcPr>
            <w:tcW w:w="390" w:type="dxa"/>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sz w:val="19"/>
                <w:szCs w:val="19"/>
              </w:rPr>
            </w:pPr>
            <w:r>
              <w:rPr>
                <w:rFonts w:hint="eastAsia" w:ascii="黑体" w:hAnsi="宋体" w:eastAsia="黑体" w:cs="黑体"/>
                <w:sz w:val="20"/>
                <w:szCs w:val="2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sz w:val="19"/>
                <w:szCs w:val="19"/>
              </w:rPr>
            </w:pPr>
            <w:r>
              <w:rPr>
                <w:rFonts w:hint="eastAsia" w:ascii="黑体" w:hAnsi="宋体" w:eastAsia="黑体" w:cs="黑体"/>
                <w:sz w:val="20"/>
                <w:szCs w:val="20"/>
              </w:rPr>
              <w:t>结果</w:t>
            </w:r>
          </w:p>
        </w:tc>
        <w:tc>
          <w:tcPr>
            <w:tcW w:w="390" w:type="dxa"/>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sz w:val="19"/>
                <w:szCs w:val="19"/>
              </w:rPr>
            </w:pPr>
            <w:r>
              <w:rPr>
                <w:rFonts w:hint="eastAsia" w:ascii="黑体" w:hAnsi="宋体" w:eastAsia="黑体" w:cs="黑体"/>
                <w:sz w:val="20"/>
                <w:szCs w:val="20"/>
              </w:rPr>
              <w:t>尚未审结</w:t>
            </w:r>
          </w:p>
        </w:tc>
        <w:tc>
          <w:tcPr>
            <w:tcW w:w="375" w:type="dxa"/>
            <w:tcBorders>
              <w:top w:val="single" w:color="00000A" w:sz="8" w:space="0"/>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20"/>
                <w:szCs w:val="2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75"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45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4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9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c>
          <w:tcPr>
            <w:tcW w:w="37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default" w:ascii="Times New Roman" w:hAnsi="Times New Roman" w:cs="Times New Roman"/>
                <w:sz w:val="19"/>
                <w:szCs w:val="19"/>
              </w:rPr>
              <w:t>0</w:t>
            </w:r>
          </w:p>
        </w:tc>
      </w:tr>
    </w:tbl>
    <w:p>
      <w:pPr>
        <w:pStyle w:val="2"/>
        <w:keepNext w:val="0"/>
        <w:keepLines w:val="0"/>
        <w:widowControl/>
        <w:suppressLineNumbers w:val="0"/>
        <w:spacing w:before="274" w:beforeAutospacing="0" w:after="274" w:afterAutospacing="0" w:line="619" w:lineRule="atLeast"/>
        <w:ind w:left="0" w:firstLine="317"/>
        <w:jc w:val="left"/>
      </w:pPr>
      <w:r>
        <w:rPr>
          <w:rFonts w:hint="eastAsia" w:ascii="黑体" w:hAnsi="宋体" w:eastAsia="黑体" w:cs="黑体"/>
          <w:i w:val="0"/>
          <w:color w:val="000000"/>
          <w:spacing w:val="0"/>
          <w:sz w:val="32"/>
          <w:szCs w:val="32"/>
        </w:rPr>
        <w:t>  五、存在的主要问题及改进情况</w:t>
      </w:r>
    </w:p>
    <w:p>
      <w:pPr>
        <w:pStyle w:val="2"/>
        <w:keepNext w:val="0"/>
        <w:keepLines w:val="0"/>
        <w:widowControl/>
        <w:suppressLineNumbers w:val="0"/>
        <w:spacing w:before="274" w:beforeAutospacing="0" w:after="115" w:afterAutospacing="0" w:line="630" w:lineRule="atLeast"/>
        <w:jc w:val="left"/>
      </w:pPr>
      <w:r>
        <w:rPr>
          <w:color w:val="000000"/>
          <w:spacing w:val="0"/>
        </w:rPr>
        <w:t>     </w:t>
      </w:r>
      <w:r>
        <w:rPr>
          <w:rFonts w:hint="eastAsia" w:ascii="仿宋_GB2312" w:eastAsia="仿宋_GB2312" w:cs="仿宋_GB2312"/>
          <w:i w:val="0"/>
          <w:color w:val="000000"/>
          <w:spacing w:val="0"/>
          <w:sz w:val="32"/>
          <w:szCs w:val="32"/>
        </w:rPr>
        <w:t>本中心政府信息公开工作仍存在一些不足的地方，主要表现为：部门信息发布内容不丰富、形式单一，下一步要善于挖掘并搜集信息点，丰富信息发布的内容、形式要多样化等。除此之外，我们将继续从以下三个方面抓好落实：一是制定202</w:t>
      </w:r>
      <w:r>
        <w:rPr>
          <w:rFonts w:hint="eastAsia" w:ascii="仿宋_GB2312" w:eastAsia="仿宋_GB2312" w:cs="仿宋_GB2312"/>
          <w:i w:val="0"/>
          <w:color w:val="000000"/>
          <w:spacing w:val="0"/>
          <w:sz w:val="32"/>
          <w:szCs w:val="32"/>
          <w:lang w:val="en-US" w:eastAsia="zh-CN"/>
        </w:rPr>
        <w:t>4</w:t>
      </w:r>
      <w:r>
        <w:rPr>
          <w:rFonts w:hint="eastAsia" w:ascii="仿宋_GB2312" w:eastAsia="仿宋_GB2312" w:cs="仿宋_GB2312"/>
          <w:i w:val="0"/>
          <w:color w:val="000000"/>
          <w:spacing w:val="0"/>
          <w:sz w:val="32"/>
          <w:szCs w:val="32"/>
        </w:rPr>
        <w:t>年度中心政务公开工作计划，每季度自查整改政府信息公开工作开展情况，合理调整部署工作方向；二是强化月调度推进机制，紧紧围绕中心重点工作、重大项目、民生工程等事项工作落实情况采取每月一发布；三是提高信息发布时效性，确保“事件一出即发布”，多学习、多探索，努力达到本中心政府信息公开完整化、特色化的效果。</w:t>
      </w:r>
    </w:p>
    <w:p>
      <w:pPr>
        <w:pStyle w:val="2"/>
        <w:keepNext w:val="0"/>
        <w:keepLines w:val="0"/>
        <w:widowControl/>
        <w:suppressLineNumbers w:val="0"/>
        <w:spacing w:before="274" w:beforeAutospacing="0" w:after="274" w:afterAutospacing="0" w:line="619" w:lineRule="atLeast"/>
        <w:jc w:val="left"/>
      </w:pPr>
      <w:r>
        <w:rPr>
          <w:color w:val="000000"/>
          <w:spacing w:val="0"/>
        </w:rPr>
        <w:t>     </w:t>
      </w:r>
      <w:r>
        <w:rPr>
          <w:rFonts w:hint="eastAsia" w:ascii="黑体" w:hAnsi="宋体" w:eastAsia="黑体" w:cs="黑体"/>
          <w:i w:val="0"/>
          <w:color w:val="000000"/>
          <w:spacing w:val="0"/>
          <w:sz w:val="32"/>
          <w:szCs w:val="32"/>
        </w:rPr>
        <w:t>六、其他需要报告的事项</w:t>
      </w:r>
    </w:p>
    <w:p>
      <w:pPr>
        <w:pStyle w:val="2"/>
        <w:keepNext w:val="0"/>
        <w:keepLines w:val="0"/>
        <w:widowControl/>
        <w:suppressLineNumbers w:val="0"/>
        <w:spacing w:line="630" w:lineRule="atLeast"/>
        <w:ind w:left="0" w:firstLine="420"/>
      </w:pPr>
      <w:r>
        <w:rPr>
          <w:rFonts w:hint="eastAsia" w:ascii="仿宋_GB2312" w:eastAsia="仿宋_GB2312" w:cs="仿宋_GB2312"/>
          <w:sz w:val="31"/>
          <w:szCs w:val="31"/>
        </w:rPr>
        <w:t> 1、本年度政府信息公开申请未达到《政府信息公开信息处理费管理办法》（国办函〔2020〕109号）所规定的信息处理费收费标准，故未收取信息处理费。</w:t>
      </w:r>
    </w:p>
    <w:p>
      <w:pPr>
        <w:pStyle w:val="2"/>
        <w:keepNext w:val="0"/>
        <w:keepLines w:val="0"/>
        <w:widowControl/>
        <w:suppressLineNumbers w:val="0"/>
        <w:spacing w:line="630" w:lineRule="atLeast"/>
        <w:ind w:left="0" w:firstLine="420"/>
      </w:pPr>
      <w:r>
        <w:rPr>
          <w:rFonts w:hint="eastAsia" w:ascii="仿宋_GB2312" w:eastAsia="仿宋_GB2312" w:cs="仿宋_GB2312"/>
          <w:sz w:val="31"/>
          <w:szCs w:val="31"/>
        </w:rPr>
        <w:t> 2、本行政机关人大代表建议和政协提案办理结果公开情况。全年未承办区级人大代表建议和区政协委员提案。</w:t>
      </w:r>
    </w:p>
    <w:p>
      <w:pPr>
        <w:pStyle w:val="2"/>
        <w:keepNext w:val="0"/>
        <w:keepLines w:val="0"/>
        <w:widowControl/>
        <w:suppressLineNumbers w:val="0"/>
        <w:spacing w:line="630" w:lineRule="atLeast"/>
        <w:ind w:left="0" w:firstLine="420"/>
      </w:pPr>
      <w:r>
        <w:rPr>
          <w:rFonts w:hint="eastAsia" w:ascii="仿宋_GB2312" w:eastAsia="仿宋_GB2312" w:cs="仿宋_GB2312"/>
          <w:sz w:val="31"/>
          <w:szCs w:val="31"/>
        </w:rPr>
        <w:t> 3、本行政机关年度政务公开工作创新情况。积极开展“政府开放日”主题活动，切实保障人民群众的知情权、参与权、表达权和监督权；坚持“每月一体检”，切实抓好政务公开网站部门信息安全、错敏词排查等工作，进一步提高政务公开信息上传的质量，确保中心网站信息安全和运行安全。</w:t>
      </w:r>
    </w:p>
    <w:p>
      <w:pPr>
        <w:pStyle w:val="2"/>
        <w:keepNext w:val="0"/>
        <w:keepLines w:val="0"/>
        <w:widowControl/>
        <w:suppressLineNumbers w:val="0"/>
        <w:spacing w:line="630" w:lineRule="atLeast"/>
        <w:ind w:left="0" w:firstLine="420"/>
      </w:pPr>
      <w:r>
        <w:rPr>
          <w:rFonts w:hint="eastAsia" w:ascii="仿宋_GB2312" w:eastAsia="仿宋_GB2312" w:cs="仿宋_GB2312"/>
          <w:sz w:val="31"/>
          <w:szCs w:val="31"/>
        </w:rPr>
        <w:t> 4、本行政机关政府信息公开工作年度报告数据统计需要说明的事项。本报告中所列数据的统计时限为202</w:t>
      </w:r>
      <w:r>
        <w:rPr>
          <w:rFonts w:hint="eastAsia" w:ascii="仿宋_GB2312" w:eastAsia="仿宋_GB2312" w:cs="仿宋_GB2312"/>
          <w:sz w:val="31"/>
          <w:szCs w:val="31"/>
          <w:lang w:val="en-US" w:eastAsia="zh-CN"/>
        </w:rPr>
        <w:t>3</w:t>
      </w:r>
      <w:r>
        <w:rPr>
          <w:rFonts w:hint="eastAsia" w:ascii="仿宋_GB2312" w:eastAsia="仿宋_GB2312" w:cs="仿宋_GB2312"/>
          <w:sz w:val="31"/>
          <w:szCs w:val="31"/>
        </w:rPr>
        <w:t>年1月1日至202</w:t>
      </w:r>
      <w:r>
        <w:rPr>
          <w:rFonts w:hint="eastAsia" w:ascii="仿宋_GB2312" w:eastAsia="仿宋_GB2312" w:cs="仿宋_GB2312"/>
          <w:sz w:val="31"/>
          <w:szCs w:val="31"/>
          <w:lang w:val="en-US" w:eastAsia="zh-CN"/>
        </w:rPr>
        <w:t>3</w:t>
      </w:r>
      <w:r>
        <w:rPr>
          <w:rFonts w:hint="eastAsia" w:ascii="仿宋_GB2312" w:eastAsia="仿宋_GB2312" w:cs="仿宋_GB2312"/>
          <w:sz w:val="31"/>
          <w:szCs w:val="31"/>
        </w:rPr>
        <w:t>年12月31日。</w:t>
      </w:r>
    </w:p>
    <w:p>
      <w:pPr>
        <w:pStyle w:val="2"/>
        <w:keepNext w:val="0"/>
        <w:keepLines w:val="0"/>
        <w:widowControl/>
        <w:suppressLineNumbers w:val="0"/>
        <w:spacing w:line="630" w:lineRule="atLeast"/>
        <w:ind w:left="0" w:firstLine="420"/>
        <w:rPr>
          <w:rFonts w:hint="eastAsia" w:ascii="仿宋_GB2312" w:eastAsia="仿宋_GB2312" w:cs="仿宋_GB2312"/>
          <w:sz w:val="31"/>
          <w:szCs w:val="31"/>
        </w:rPr>
      </w:pPr>
      <w:r>
        <w:rPr>
          <w:rFonts w:hint="eastAsia" w:ascii="仿宋_GB2312" w:eastAsia="仿宋_GB2312" w:cs="仿宋_GB2312"/>
          <w:sz w:val="31"/>
          <w:szCs w:val="31"/>
        </w:rPr>
        <w:t> 5、本行政机关认为需要报告的其他事项。</w:t>
      </w:r>
    </w:p>
    <w:p>
      <w:pPr>
        <w:pStyle w:val="2"/>
        <w:keepNext w:val="0"/>
        <w:keepLines w:val="0"/>
        <w:widowControl/>
        <w:suppressLineNumbers w:val="0"/>
        <w:spacing w:line="630" w:lineRule="atLeast"/>
        <w:ind w:left="0" w:firstLine="420"/>
      </w:pPr>
      <w:r>
        <w:rPr>
          <w:rFonts w:hint="eastAsia" w:ascii="仿宋_GB2312" w:eastAsia="仿宋_GB2312" w:cs="仿宋_GB2312"/>
          <w:sz w:val="31"/>
          <w:szCs w:val="31"/>
        </w:rPr>
        <w:t>无。</w:t>
      </w:r>
    </w:p>
    <w:p>
      <w:pPr>
        <w:pStyle w:val="2"/>
        <w:keepNext w:val="0"/>
        <w:keepLines w:val="0"/>
        <w:widowControl/>
        <w:suppressLineNumbers w:val="0"/>
        <w:spacing w:line="630" w:lineRule="atLeast"/>
        <w:ind w:left="0" w:firstLine="420"/>
        <w:rPr>
          <w:rFonts w:hint="eastAsia" w:ascii="仿宋_GB2312" w:eastAsia="仿宋_GB2312" w:cs="仿宋_GB2312"/>
          <w:sz w:val="31"/>
          <w:szCs w:val="31"/>
        </w:rPr>
      </w:pPr>
      <w:r>
        <w:rPr>
          <w:rFonts w:hint="eastAsia" w:ascii="仿宋_GB2312" w:eastAsia="仿宋_GB2312" w:cs="仿宋_GB2312"/>
          <w:sz w:val="31"/>
          <w:szCs w:val="31"/>
        </w:rPr>
        <w:t> 6、其他有关文件专门要求通过政府信息公开工作年度报告予以报告的事项。</w:t>
      </w:r>
    </w:p>
    <w:p>
      <w:pPr>
        <w:pStyle w:val="2"/>
        <w:keepNext w:val="0"/>
        <w:keepLines w:val="0"/>
        <w:widowControl/>
        <w:suppressLineNumbers w:val="0"/>
        <w:spacing w:line="630" w:lineRule="atLeast"/>
        <w:ind w:firstLine="620" w:firstLineChars="200"/>
      </w:pPr>
      <w:r>
        <w:rPr>
          <w:rFonts w:hint="eastAsia" w:ascii="仿宋_GB2312" w:eastAsia="仿宋_GB2312" w:cs="仿宋_GB2312"/>
          <w:sz w:val="31"/>
          <w:szCs w:val="31"/>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EFC36"/>
    <w:rsid w:val="28A6E39B"/>
    <w:rsid w:val="3EDE4018"/>
    <w:rsid w:val="3FCF3B36"/>
    <w:rsid w:val="678B432A"/>
    <w:rsid w:val="6E1F4033"/>
    <w:rsid w:val="6FFEFC36"/>
    <w:rsid w:val="73EA5746"/>
    <w:rsid w:val="7FDFB7FD"/>
    <w:rsid w:val="A79F7526"/>
    <w:rsid w:val="B67A575A"/>
    <w:rsid w:val="B7DF4C6D"/>
    <w:rsid w:val="BC8F424E"/>
    <w:rsid w:val="C0B59991"/>
    <w:rsid w:val="C7BA84F5"/>
    <w:rsid w:val="DF6BDE72"/>
    <w:rsid w:val="DFFFFF50"/>
    <w:rsid w:val="EA3F15EF"/>
    <w:rsid w:val="EB7FB506"/>
    <w:rsid w:val="EDD6E841"/>
    <w:rsid w:val="F3448AE2"/>
    <w:rsid w:val="FE1EE6AB"/>
    <w:rsid w:val="FECEAA42"/>
    <w:rsid w:val="FEE3E79C"/>
    <w:rsid w:val="FFE2DC05"/>
    <w:rsid w:val="FFFBA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a:lstStyle/>
          <a:p>
            <a:pPr defTabSz="914400">
              <a:defRPr lang="zh-CN" sz="1400" b="0" i="0" u="none" strike="noStrike" kern="1200" spc="0" baseline="0">
                <a:solidFill>
                  <a:sysClr val="windowText" lastClr="000000">
                    <a:lumMod val="65000"/>
                    <a:lumOff val="35000"/>
                  </a:sysClr>
                </a:solidFill>
                <a:latin typeface="+mn-lt"/>
                <a:ea typeface="+mn-ea"/>
                <a:cs typeface="+mn-cs"/>
              </a:defRPr>
            </a:pPr>
            <a:r>
              <a:t>主动公开政府信息</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主动公开政府信息数</c:v>
                </c:pt>
              </c:strCache>
            </c:strRef>
          </c:tx>
          <c:spPr>
            <a:solidFill>
              <a:srgbClr val="5B9BD5"/>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lumMod val="75000"/>
                        <a:lumOff val="25000"/>
                      </a:sys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ysClr val="windowText" lastClr="000000">
                          <a:lumMod val="35000"/>
                          <a:lumOff val="65000"/>
                        </a:sysClr>
                      </a:solidFill>
                      <a:round/>
                    </a:ln>
                    <a:effectLst/>
                  </c:spPr>
                </c15:leaderLines>
              </c:ext>
            </c:extLst>
          </c:dLbls>
          <c:trendline>
            <c:spPr>
              <a:ln w="19050" cap="rnd">
                <a:solidFill>
                  <a:srgbClr val="5B9BD5"/>
                </a:solidFill>
                <a:prstDash val="sysDot"/>
              </a:ln>
              <a:effectLst/>
            </c:spPr>
            <c:trendlineType val="linear"/>
            <c:dispRSqr val="false"/>
            <c:dispEq val="false"/>
          </c:trendline>
          <c:cat>
            <c:strRef>
              <c:f>Sheet1!$A$2:$A$3</c:f>
              <c:strCache>
                <c:ptCount val="2"/>
                <c:pt idx="0">
                  <c:v>2022年</c:v>
                </c:pt>
                <c:pt idx="1">
                  <c:v>2023年</c:v>
                </c:pt>
              </c:strCache>
            </c:strRef>
          </c:cat>
          <c:val>
            <c:numRef>
              <c:f>Sheet1!$B$2:$B$3</c:f>
              <c:numCache>
                <c:formatCode>General</c:formatCode>
                <c:ptCount val="2"/>
                <c:pt idx="0">
                  <c:v>108</c:v>
                </c:pt>
                <c:pt idx="1">
                  <c:v>101</c:v>
                </c:pt>
              </c:numCache>
            </c:numRef>
          </c:val>
        </c:ser>
        <c:dLbls>
          <c:showLegendKey val="false"/>
          <c:showVal val="true"/>
          <c:showCatName val="false"/>
          <c:showSerName val="false"/>
          <c:showPercent val="false"/>
          <c:showBubbleSize val="false"/>
        </c:dLbls>
        <c:gapWidth val="219"/>
        <c:overlap val="-27"/>
        <c:axId val="405862112"/>
        <c:axId val="658067450"/>
      </c:barChart>
      <c:catAx>
        <c:axId val="405862112"/>
        <c:scaling>
          <c:orientation val="minMax"/>
        </c:scaling>
        <c:delete val="false"/>
        <c:axPos val="b"/>
        <c:majorTickMark val="out"/>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true"/>
          <a:lstStyle/>
          <a:p>
            <a:pPr>
              <a:defRPr lang="zh-CN" sz="900" b="0" i="0" u="none" strike="noStrike" kern="1200" baseline="0">
                <a:solidFill>
                  <a:sysClr val="windowText" lastClr="000000">
                    <a:lumMod val="65000"/>
                    <a:lumOff val="35000"/>
                  </a:sysClr>
                </a:solidFill>
                <a:latin typeface="+mn-lt"/>
                <a:ea typeface="+mn-ea"/>
                <a:cs typeface="+mn-cs"/>
              </a:defRPr>
            </a:pPr>
          </a:p>
        </c:txPr>
        <c:crossAx val="658067450"/>
        <c:crosses val="autoZero"/>
        <c:auto val="true"/>
        <c:lblAlgn val="ctr"/>
        <c:lblOffset val="100"/>
        <c:noMultiLvlLbl val="false"/>
      </c:catAx>
      <c:valAx>
        <c:axId val="658067450"/>
        <c:scaling>
          <c:orientation val="minMax"/>
        </c:scaling>
        <c:delete val="false"/>
        <c:axPos val="l"/>
        <c:majorGridlines>
          <c:spPr>
            <a:ln w="9525" cap="flat" cmpd="sng" algn="ctr">
              <a:solidFill>
                <a:sysClr val="windowText" lastClr="000000">
                  <a:lumMod val="15000"/>
                  <a:lumOff val="85000"/>
                </a:sysClr>
              </a:solidFill>
              <a:round/>
            </a:ln>
            <a:effectLst/>
          </c:spPr>
        </c:majorGridlines>
        <c:numFmt formatCode="General" sourceLinked="true"/>
        <c:majorTickMark val="out"/>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ysClr val="windowText" lastClr="000000">
                    <a:lumMod val="65000"/>
                    <a:lumOff val="35000"/>
                  </a:sysClr>
                </a:solidFill>
                <a:latin typeface="+mn-lt"/>
                <a:ea typeface="+mn-ea"/>
                <a:cs typeface="+mn-cs"/>
              </a:defRPr>
            </a:pPr>
          </a:p>
        </c:txPr>
        <c:crossAx val="405862112"/>
        <c:crosses val="autoZero"/>
        <c:crossBetween val="between"/>
      </c:valAx>
      <c:dTable>
        <c:showHorzBorder val="true"/>
        <c:showVertBorder val="true"/>
        <c:showOutline val="true"/>
        <c:showKeys val="true"/>
        <c:spPr>
          <a:noFill/>
          <a:ln w="9525" cap="flat" cmpd="sng" algn="ctr">
            <a:solidFill>
              <a:sysClr val="windowText" lastClr="000000">
                <a:lumMod val="15000"/>
                <a:lumOff val="85000"/>
              </a:sysClr>
            </a:solidFill>
            <a:round/>
          </a:ln>
          <a:effectLst/>
        </c:spPr>
        <c:txPr>
          <a:bodyPr rot="0" spcFirstLastPara="0" vertOverflow="ellipsis" vert="horz" wrap="square" anchor="ctr" anchorCtr="true"/>
          <a:lstStyle/>
          <a:p>
            <a:pPr>
              <a:defRPr lang="zh-CN" sz="900" b="0" i="0" u="none" strike="noStrike" kern="1200" baseline="0">
                <a:solidFill>
                  <a:sysClr val="windowText" lastClr="000000">
                    <a:lumMod val="65000"/>
                    <a:lumOff val="35000"/>
                  </a:sysClr>
                </a:solidFill>
                <a:latin typeface="+mn-lt"/>
                <a:ea typeface="+mn-ea"/>
                <a:cs typeface="+mn-cs"/>
              </a:defRPr>
            </a:pPr>
          </a:p>
        </c:txPr>
      </c:dTable>
      <c:spPr>
        <a:noFill/>
        <a:ln>
          <a:noFill/>
        </a:ln>
        <a:effectLst/>
      </c:spPr>
    </c:plotArea>
    <c:plotVisOnly val="true"/>
    <c:dispBlanksAs val="gap"/>
    <c:showDLblsOverMax val="false"/>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2972</Words>
  <Characters>3092</Characters>
  <Lines>0</Lines>
  <Paragraphs>0</Paragraphs>
  <TotalTime>363</TotalTime>
  <ScaleCrop>false</ScaleCrop>
  <LinksUpToDate>false</LinksUpToDate>
  <CharactersWithSpaces>3093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2023-12-16T02:27:00Z</dcterms:created>
  <dc:creator>user</dc:creator>
  <cp:lastModifiedBy>user</cp:lastModifiedBy>
  <dcterms:modified xsi:type="dcterms:W3CDTF">2024-01-18T16:40:33Z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