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rPr>
      </w:pPr>
    </w:p>
    <w:p>
      <w:pPr>
        <w:jc w:val="center"/>
        <w:rPr>
          <w:rFonts w:hint="eastAsia" w:ascii="黑体" w:hAnsi="黑体" w:eastAsia="黑体" w:cs="黑体"/>
          <w:sz w:val="28"/>
          <w:szCs w:val="28"/>
        </w:rPr>
      </w:pPr>
      <w:r>
        <w:rPr>
          <w:rFonts w:hint="eastAsia" w:ascii="黑体" w:hAnsi="黑体" w:eastAsia="黑体" w:cs="黑体"/>
          <w:sz w:val="28"/>
          <w:szCs w:val="28"/>
        </w:rPr>
        <w:t>枣庄高新区高新供电中心202</w:t>
      </w:r>
      <w:r>
        <w:rPr>
          <w:rFonts w:hint="eastAsia" w:ascii="黑体" w:hAnsi="黑体" w:eastAsia="黑体" w:cs="黑体"/>
          <w:sz w:val="28"/>
          <w:szCs w:val="28"/>
          <w:lang w:val="en-US" w:eastAsia="zh-CN"/>
        </w:rPr>
        <w:t>2</w:t>
      </w:r>
      <w:r>
        <w:rPr>
          <w:rFonts w:hint="eastAsia" w:ascii="黑体" w:hAnsi="黑体" w:eastAsia="黑体" w:cs="黑体"/>
          <w:sz w:val="28"/>
          <w:szCs w:val="28"/>
        </w:rPr>
        <w:t>年政府信息公开工作年度报告</w:t>
      </w:r>
    </w:p>
    <w:p>
      <w:pPr>
        <w:jc w:val="center"/>
        <w:rPr>
          <w:rFonts w:hint="eastAsia" w:ascii="黑体" w:hAnsi="黑体" w:eastAsia="黑体" w:cs="黑体"/>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2022年，枣庄高新区</w:t>
      </w:r>
      <w:r>
        <w:rPr>
          <w:rFonts w:hint="eastAsia" w:ascii="仿宋_GB2312" w:hAnsi="仿宋_GB2312" w:eastAsia="仿宋_GB2312" w:cs="仿宋_GB2312"/>
          <w:sz w:val="32"/>
          <w:szCs w:val="32"/>
          <w:lang w:val="en-US" w:eastAsia="zh-CN"/>
        </w:rPr>
        <w:t>高新供电中心</w:t>
      </w:r>
      <w:r>
        <w:rPr>
          <w:rFonts w:hint="eastAsia" w:ascii="仿宋_GB2312" w:hAnsi="仿宋_GB2312" w:eastAsia="仿宋_GB2312" w:cs="仿宋_GB2312"/>
          <w:sz w:val="32"/>
          <w:szCs w:val="32"/>
        </w:rPr>
        <w:t>根据《中华人民共和国政府信息公开条例》、《国务院办公厅政府信息与政务公开办公室关于印发＜中华人民共和国政府信息公开工作年度报告格式＞的通知》（国办公开办函〔2021〕30号）等相关工作要求，坚持“公开为常态，不公开为例外”原则，立足部门职能，切实推进政府信息公开工作，全力提升政务公开质量和实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如对本年度政府信息公开工作年度报告有疑问，请与枣庄高新</w:t>
      </w:r>
      <w:r>
        <w:rPr>
          <w:rFonts w:hint="eastAsia" w:ascii="仿宋_GB2312" w:hAnsi="仿宋_GB2312" w:eastAsia="仿宋_GB2312" w:cs="仿宋_GB2312"/>
          <w:sz w:val="32"/>
          <w:szCs w:val="32"/>
          <w:lang w:eastAsia="zh-CN"/>
        </w:rPr>
        <w:t>供电中心</w:t>
      </w:r>
      <w:r>
        <w:rPr>
          <w:rFonts w:hint="eastAsia" w:ascii="仿宋_GB2312" w:hAnsi="仿宋_GB2312" w:eastAsia="仿宋_GB2312" w:cs="仿宋_GB2312"/>
          <w:sz w:val="32"/>
          <w:szCs w:val="32"/>
        </w:rPr>
        <w:t>联系（联系电话:0632-</w:t>
      </w:r>
      <w:r>
        <w:rPr>
          <w:rFonts w:hint="eastAsia" w:ascii="仿宋_GB2312" w:hAnsi="仿宋_GB2312" w:eastAsia="仿宋_GB2312" w:cs="仿宋_GB2312"/>
          <w:sz w:val="32"/>
          <w:szCs w:val="32"/>
          <w:lang w:val="en-US" w:eastAsia="zh-CN"/>
        </w:rPr>
        <w:t>3233812</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gxgdb@163.com</w:t>
      </w:r>
      <w:r>
        <w:rPr>
          <w:rFonts w:hint="eastAsia" w:ascii="仿宋_GB2312" w:hAnsi="仿宋_GB2312" w:eastAsia="仿宋_GB2312" w:cs="仿宋_GB2312"/>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lang w:val="en-US" w:eastAsia="zh-CN"/>
        </w:rPr>
        <w:t>一、</w:t>
      </w:r>
      <w:r>
        <w:rPr>
          <w:rFonts w:hint="eastAsia" w:ascii="宋体" w:hAnsi="宋体" w:eastAsia="宋体" w:cs="宋体"/>
          <w:b/>
          <w:bCs/>
          <w:i w:val="0"/>
          <w:iCs w:val="0"/>
          <w:caps w:val="0"/>
          <w:color w:val="333333"/>
          <w:spacing w:val="0"/>
          <w:sz w:val="32"/>
          <w:szCs w:val="32"/>
          <w:shd w:val="clear" w:fill="FFFFFF"/>
        </w:rPr>
        <w:t>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高新供电中心</w:t>
      </w:r>
      <w:r>
        <w:rPr>
          <w:rFonts w:hint="default" w:ascii="仿宋_GB2312" w:hAnsi="仿宋_GB2312" w:eastAsia="仿宋_GB2312" w:cs="仿宋_GB2312"/>
          <w:sz w:val="32"/>
          <w:szCs w:val="32"/>
        </w:rPr>
        <w:t>严格按照省、市、区政务公开有关要求，积极主动、及时准确公开</w:t>
      </w:r>
      <w:r>
        <w:rPr>
          <w:rFonts w:hint="eastAsia" w:ascii="仿宋_GB2312" w:hAnsi="仿宋_GB2312" w:eastAsia="仿宋_GB2312" w:cs="仿宋_GB2312"/>
          <w:sz w:val="32"/>
          <w:szCs w:val="32"/>
          <w:lang w:val="en-US" w:eastAsia="zh-CN"/>
        </w:rPr>
        <w:t>供电</w:t>
      </w:r>
      <w:r>
        <w:rPr>
          <w:rFonts w:hint="default" w:ascii="仿宋_GB2312" w:hAnsi="仿宋_GB2312" w:eastAsia="仿宋_GB2312" w:cs="仿宋_GB2312"/>
          <w:sz w:val="32"/>
          <w:szCs w:val="32"/>
        </w:rPr>
        <w:t>部门相关信息，认真执行相关规定，全面公开、精准解读相关会议、政策措施，确保政策内涵透明、清晰。严格落实“先审查、后公开”，将信息公开作为重要抓手，切实开展政务公开工作。现将相关工作具体情况介绍如下：</w:t>
      </w:r>
    </w:p>
    <w:p>
      <w:pPr>
        <w:pStyle w:val="5"/>
        <w:keepNext w:val="0"/>
        <w:keepLines w:val="0"/>
        <w:pageBreakBefore w:val="0"/>
        <w:widowControl/>
        <w:suppressLineNumbers w:val="0"/>
        <w:kinsoku/>
        <w:wordWrap/>
        <w:overflowPunct/>
        <w:topLinePunct w:val="0"/>
        <w:autoSpaceDE/>
        <w:autoSpaceDN/>
        <w:bidi w:val="0"/>
        <w:adjustRightInd/>
        <w:snapToGrid/>
        <w:spacing w:beforeAutospacing="0" w:line="240" w:lineRule="auto"/>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高新管委门户网站“</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动态”版块涉电内容及供电中心简介由综合科负责发布</w:t>
      </w:r>
      <w:r>
        <w:rPr>
          <w:rFonts w:hint="eastAsia" w:ascii="仿宋_GB2312" w:hAnsi="仿宋_GB2312" w:eastAsia="仿宋_GB2312" w:cs="仿宋_GB2312"/>
          <w:sz w:val="32"/>
          <w:szCs w:val="32"/>
          <w:lang w:eastAsia="zh-CN"/>
        </w:rPr>
        <w:t>，累计编发信息</w:t>
      </w:r>
      <w:r>
        <w:rPr>
          <w:rFonts w:hint="eastAsia" w:ascii="仿宋_GB2312" w:hAnsi="仿宋_GB2312" w:eastAsia="仿宋_GB2312" w:cs="仿宋_GB2312"/>
          <w:sz w:val="32"/>
          <w:szCs w:val="32"/>
          <w:lang w:val="en-US" w:eastAsia="zh-CN"/>
        </w:rPr>
        <w:t>38篇</w:t>
      </w:r>
      <w:r>
        <w:rPr>
          <w:rFonts w:hint="eastAsia" w:ascii="仿宋_GB2312" w:hAnsi="仿宋_GB2312" w:eastAsia="仿宋_GB2312" w:cs="仿宋_GB2312"/>
          <w:sz w:val="32"/>
          <w:szCs w:val="32"/>
        </w:rPr>
        <w:t>。有关文件及简报等其他需要公开的政府信息由综合科负责，</w:t>
      </w:r>
      <w:r>
        <w:rPr>
          <w:rFonts w:hint="eastAsia" w:ascii="仿宋_GB2312" w:hAnsi="仿宋_GB2312" w:eastAsia="仿宋_GB2312" w:cs="仿宋_GB2312"/>
          <w:sz w:val="32"/>
          <w:szCs w:val="32"/>
          <w:lang w:eastAsia="zh-CN"/>
        </w:rPr>
        <w:t>编发</w:t>
      </w:r>
      <w:r>
        <w:rPr>
          <w:rFonts w:hint="eastAsia" w:ascii="仿宋_GB2312" w:hAnsi="仿宋_GB2312" w:eastAsia="仿宋_GB2312" w:cs="仿宋_GB2312"/>
          <w:sz w:val="32"/>
          <w:szCs w:val="32"/>
          <w:lang w:val="en-US" w:eastAsia="zh-CN"/>
        </w:rPr>
        <w:t>6篇，</w:t>
      </w:r>
      <w:r>
        <w:rPr>
          <w:rFonts w:hint="eastAsia" w:ascii="仿宋_GB2312" w:hAnsi="仿宋_GB2312" w:eastAsia="仿宋_GB2312" w:cs="仿宋_GB2312"/>
          <w:sz w:val="32"/>
          <w:szCs w:val="32"/>
        </w:rPr>
        <w:t>并严格与公文制作和运转流程相结合。在具体操作中，严格按照“先审查，后公开”原则进行公开，如遇特殊情况，则坚持“一事一审”原则予以发布公开。</w:t>
      </w:r>
    </w:p>
    <w:p>
      <w:pPr>
        <w:rPr>
          <w:rFonts w:hint="eastAsia" w:eastAsiaTheme="minorEastAsia"/>
          <w:lang w:eastAsia="zh-CN"/>
        </w:rPr>
      </w:pPr>
      <w:r>
        <w:rPr>
          <w:rFonts w:hint="eastAsia" w:eastAsiaTheme="minorEastAsia"/>
          <w:lang w:eastAsia="zh-CN"/>
        </w:rPr>
        <w:drawing>
          <wp:inline distT="0" distB="0" distL="114300" distR="114300">
            <wp:extent cx="5925820" cy="3810000"/>
            <wp:effectExtent l="4445" t="4445" r="1333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32"/>
          <w:szCs w:val="32"/>
          <w:shd w:val="clear" w:fill="FFFFFF"/>
        </w:rPr>
      </w:pPr>
      <w:bookmarkStart w:id="0" w:name="_GoBack"/>
      <w:bookmarkEnd w:id="0"/>
      <w:r>
        <w:rPr>
          <w:rFonts w:hint="eastAsia" w:ascii="宋体" w:hAnsi="宋体" w:eastAsia="宋体" w:cs="宋体"/>
          <w:b/>
          <w:bCs/>
          <w:i w:val="0"/>
          <w:iCs w:val="0"/>
          <w:caps w:val="0"/>
          <w:color w:val="333333"/>
          <w:spacing w:val="0"/>
          <w:sz w:val="32"/>
          <w:szCs w:val="32"/>
          <w:shd w:val="clear" w:fill="FFFFFF"/>
        </w:rPr>
        <w:t>二、主动公开政府信息情况</w:t>
      </w:r>
    </w:p>
    <w:tbl>
      <w:tblPr>
        <w:tblStyle w:val="6"/>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13"/>
        <w:gridCol w:w="187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2</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2</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服务信息及工作动态</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color w:val="0000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rPr>
          <w:rFonts w:hint="eastAsia" w:ascii="黑体" w:hAnsi="黑体" w:eastAsia="黑体" w:cs="黑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三、收到和处理政府信息公开申请情况</w:t>
      </w:r>
    </w:p>
    <w:tbl>
      <w:tblPr>
        <w:tblStyle w:val="6"/>
        <w:tblW w:w="91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8"/>
        <w:gridCol w:w="857"/>
        <w:gridCol w:w="2100"/>
        <w:gridCol w:w="816"/>
        <w:gridCol w:w="758"/>
        <w:gridCol w:w="758"/>
        <w:gridCol w:w="816"/>
        <w:gridCol w:w="977"/>
        <w:gridCol w:w="719"/>
        <w:gridCol w:w="7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6" w:hRule="atLeast"/>
          <w:jc w:val="center"/>
        </w:trPr>
        <w:tc>
          <w:tcPr>
            <w:tcW w:w="3575"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44"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6" w:hRule="atLeast"/>
          <w:jc w:val="center"/>
        </w:trPr>
        <w:tc>
          <w:tcPr>
            <w:tcW w:w="357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eastAsia" w:ascii="宋体" w:hAnsi="宋体" w:eastAsia="宋体" w:cs="宋体"/>
                <w:kern w:val="0"/>
                <w:sz w:val="20"/>
                <w:szCs w:val="20"/>
                <w:lang w:val="en-US" w:eastAsia="zh-CN" w:bidi="ar"/>
              </w:rPr>
              <w:t>自然人</w:t>
            </w:r>
          </w:p>
        </w:tc>
        <w:tc>
          <w:tcPr>
            <w:tcW w:w="402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eastAsia" w:ascii="宋体" w:hAnsi="宋体" w:eastAsia="宋体" w:cs="宋体"/>
                <w:kern w:val="0"/>
                <w:sz w:val="20"/>
                <w:szCs w:val="20"/>
                <w:lang w:val="en-US" w:eastAsia="zh-CN" w:bidi="ar"/>
              </w:rPr>
              <w:t>法人或其他组织</w:t>
            </w:r>
          </w:p>
        </w:tc>
        <w:tc>
          <w:tcPr>
            <w:tcW w:w="70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5" w:hRule="atLeast"/>
          <w:jc w:val="center"/>
        </w:trPr>
        <w:tc>
          <w:tcPr>
            <w:tcW w:w="357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eastAsia" w:ascii="宋体" w:hAnsi="宋体" w:eastAsia="宋体" w:cs="宋体"/>
                <w:kern w:val="0"/>
                <w:sz w:val="20"/>
                <w:szCs w:val="20"/>
                <w:lang w:val="en-US" w:eastAsia="zh-CN" w:bidi="ar"/>
              </w:rPr>
              <w:t>商业企业</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eastAsia" w:ascii="宋体" w:hAnsi="宋体" w:eastAsia="宋体" w:cs="宋体"/>
                <w:kern w:val="0"/>
                <w:sz w:val="20"/>
                <w:szCs w:val="20"/>
                <w:lang w:val="en-US" w:eastAsia="zh-CN" w:bidi="ar"/>
              </w:rPr>
              <w:t>科研机构</w:t>
            </w:r>
          </w:p>
        </w:tc>
        <w:tc>
          <w:tcPr>
            <w:tcW w:w="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eastAsia" w:ascii="宋体" w:hAnsi="宋体" w:eastAsia="宋体" w:cs="宋体"/>
                <w:kern w:val="0"/>
                <w:sz w:val="20"/>
                <w:szCs w:val="20"/>
                <w:lang w:val="en-US" w:eastAsia="zh-CN" w:bidi="ar"/>
              </w:rPr>
              <w:t>社会公益组织</w:t>
            </w:r>
          </w:p>
        </w:tc>
        <w:tc>
          <w:tcPr>
            <w:tcW w:w="9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eastAsia" w:ascii="宋体" w:hAnsi="宋体" w:eastAsia="宋体" w:cs="宋体"/>
                <w:kern w:val="0"/>
                <w:sz w:val="20"/>
                <w:szCs w:val="20"/>
                <w:lang w:val="en-US" w:eastAsia="zh-CN" w:bidi="ar"/>
              </w:rPr>
              <w:t>法律服务机构</w:t>
            </w:r>
          </w:p>
        </w:tc>
        <w:tc>
          <w:tcPr>
            <w:tcW w:w="71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eastAsia" w:ascii="宋体" w:hAnsi="宋体" w:eastAsia="宋体" w:cs="宋体"/>
                <w:kern w:val="0"/>
                <w:sz w:val="20"/>
                <w:szCs w:val="20"/>
                <w:lang w:val="en-US" w:eastAsia="zh-CN" w:bidi="ar"/>
              </w:rPr>
              <w:t>其他</w:t>
            </w:r>
          </w:p>
        </w:tc>
        <w:tc>
          <w:tcPr>
            <w:tcW w:w="70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6" w:hRule="atLeast"/>
          <w:jc w:val="center"/>
        </w:trPr>
        <w:tc>
          <w:tcPr>
            <w:tcW w:w="357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6" w:hRule="atLeast"/>
          <w:jc w:val="center"/>
        </w:trPr>
        <w:tc>
          <w:tcPr>
            <w:tcW w:w="357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6" w:hRule="atLeast"/>
          <w:jc w:val="center"/>
        </w:trPr>
        <w:tc>
          <w:tcPr>
            <w:tcW w:w="61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5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ascii="楷体" w:hAnsi="楷体" w:eastAsia="楷体" w:cs="楷体"/>
                <w:kern w:val="0"/>
                <w:sz w:val="20"/>
                <w:szCs w:val="20"/>
                <w:lang w:val="en-US" w:eastAsia="zh-CN" w:bidi="ar"/>
              </w:rPr>
              <w:t>（一）予以公开</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95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6"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（三）不予公开</w:t>
            </w: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1.属于国家秘密</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7"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6"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6"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（四）无法提供</w:t>
            </w: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（五）不予处理</w:t>
            </w: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eastAsia" w:ascii="Calibri" w:hAnsi="Calibri" w:cs="Calibri"/>
                <w:kern w:val="0"/>
                <w:sz w:val="20"/>
                <w:szCs w:val="20"/>
                <w:lang w:val="en-US" w:eastAsia="zh-CN" w:bidi="ar"/>
              </w:rPr>
              <w:t>1</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6"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2.重复申请</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5"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1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6"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95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（六）其他处理</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6"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95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楷体" w:hAnsi="楷体" w:eastAsia="楷体" w:cs="楷体"/>
                <w:kern w:val="0"/>
                <w:sz w:val="20"/>
                <w:szCs w:val="20"/>
                <w:lang w:val="en-US" w:eastAsia="zh-CN" w:bidi="ar"/>
              </w:rPr>
              <w:t>（七）总计</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1" w:hRule="atLeast"/>
          <w:jc w:val="center"/>
        </w:trPr>
        <w:tc>
          <w:tcPr>
            <w:tcW w:w="357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9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0" w:lineRule="atLeast"/>
              <w:ind w:left="0" w:right="0"/>
              <w:jc w:val="center"/>
              <w:textAlignment w:val="auto"/>
            </w:pPr>
            <w:r>
              <w:rPr>
                <w:rFonts w:hint="default" w:ascii="Calibri" w:hAnsi="Calibri" w:cs="Calibri" w:eastAsiaTheme="minorEastAsia"/>
                <w:kern w:val="0"/>
                <w:sz w:val="20"/>
                <w:szCs w:val="20"/>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四、政府信息公开行政复议、行政诉讼情况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五、存在的主要问题及改进情况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中心</w:t>
      </w:r>
      <w:r>
        <w:rPr>
          <w:rFonts w:hint="default" w:ascii="仿宋_GB2312" w:hAnsi="仿宋_GB2312" w:eastAsia="仿宋_GB2312" w:cs="仿宋_GB2312"/>
          <w:sz w:val="32"/>
          <w:szCs w:val="32"/>
        </w:rPr>
        <w:t>政府信息公开工作有序推进，但也存在一些问题和不足。主要表现为：一是公开内容缺乏全面性，部分事项信息涉密，无权限进行事项公开，来源较为单一，信息公开质量有待提高；</w:t>
      </w:r>
      <w:r>
        <w:rPr>
          <w:rFonts w:hint="eastAsia" w:ascii="仿宋_GB2312" w:hAnsi="仿宋_GB2312" w:eastAsia="仿宋_GB2312" w:cs="仿宋_GB2312"/>
          <w:sz w:val="32"/>
          <w:szCs w:val="32"/>
        </w:rPr>
        <w:t>二是信息来源不足，各中心门对信息公开的广度、深度认识还不够，公开信息未能完全满足公众需求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三是因民众对该项工作的认知意识较为淡薄，对有关公开信息的查询途径尚不被基层群众所熟悉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四是工作长效机制还需进一步健全并完善。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下一步，高新供电中心将</w:t>
      </w:r>
      <w:r>
        <w:rPr>
          <w:rFonts w:hint="eastAsia" w:ascii="仿宋_GB2312" w:hAnsi="仿宋_GB2312" w:eastAsia="仿宋_GB2312" w:cs="仿宋_GB2312"/>
          <w:sz w:val="32"/>
          <w:szCs w:val="32"/>
        </w:rPr>
        <w:t>进一步健全推进工作机制，加强对拟公开政府信息的把关，确保信息的准确及时。</w:t>
      </w:r>
      <w:r>
        <w:rPr>
          <w:rFonts w:hint="default" w:ascii="仿宋_GB2312" w:hAnsi="仿宋_GB2312" w:eastAsia="仿宋_GB2312" w:cs="仿宋_GB2312"/>
          <w:sz w:val="32"/>
          <w:szCs w:val="32"/>
        </w:rPr>
        <w:t>一是加大重点领域信息公开力度，尤其要立足</w:t>
      </w:r>
      <w:r>
        <w:rPr>
          <w:rFonts w:hint="eastAsia" w:ascii="仿宋_GB2312" w:hAnsi="仿宋_GB2312" w:eastAsia="仿宋_GB2312" w:cs="仿宋_GB2312"/>
          <w:sz w:val="32"/>
          <w:szCs w:val="32"/>
          <w:lang w:val="en-US" w:eastAsia="zh-CN"/>
        </w:rPr>
        <w:t>供电</w:t>
      </w:r>
      <w:r>
        <w:rPr>
          <w:rFonts w:hint="default" w:ascii="仿宋_GB2312" w:hAnsi="仿宋_GB2312" w:eastAsia="仿宋_GB2312" w:cs="仿宋_GB2312"/>
          <w:sz w:val="32"/>
          <w:szCs w:val="32"/>
        </w:rPr>
        <w:t>职能，进一步抓好政策文件及解读、重点领域等相关信息公开。二是及时更新相关政务信息，丰富信息公开内容和形式，同时加强政府信息公开指导和自查工作，确保信息公开的及时性、准确性，努力提高政务公开工作的质量和服务水平。</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进一步扩大主动公开政府信息的范围，做到尽可能为群众提供最新最权威的政府信息，方便群众。多渠道、多维度公开信息，除了在政府门户网站公开信息外，还通过供电营业厅、枣庄日报、网站、微信公众号等渠道公开相关信息。</w:t>
      </w: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rPr>
        <w:t>做好服务工作，更好地完成相关的咨询，在便民服务方面提供更好服务。建立长效工作机制，继续完善政府信息公开的监督、评议制度。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按照高新党委、管委统一中心署，进一步抓好本单位政府信息公开规范化建设，积极开展政府信息公开理论探索和实践，进一步提高政府信息公开的质量和水平，全面推进供电中心政府信息公开工作再上新台阶。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仿宋_GB2312" w:hAnsi="Ã¥Â¾Â®Ã¨Â½Â¯Ã©â€ºâ€¦Ã©Â»â€˜" w:eastAsia="仿宋_GB2312" w:cs="仿宋_GB2312"/>
          <w:i w:val="0"/>
          <w:iCs w:val="0"/>
          <w:caps w:val="0"/>
          <w:color w:val="000000"/>
          <w:spacing w:val="0"/>
          <w:sz w:val="32"/>
          <w:szCs w:val="32"/>
          <w:shd w:val="clear" w:fill="FFFFFF"/>
        </w:rPr>
      </w:pPr>
      <w:r>
        <w:rPr>
          <w:rFonts w:ascii="仿宋_GB2312" w:hAnsi="Ã¥Â¾Â®Ã¨Â½Â¯Ã©â€ºâ€¦Ã©Â»â€˜" w:eastAsia="仿宋_GB2312" w:cs="仿宋_GB2312"/>
          <w:i w:val="0"/>
          <w:iCs w:val="0"/>
          <w:caps w:val="0"/>
          <w:color w:val="000000"/>
          <w:spacing w:val="0"/>
          <w:sz w:val="32"/>
          <w:szCs w:val="32"/>
          <w:shd w:val="clear" w:fill="FFFFFF"/>
        </w:rPr>
        <w:t>1.本年度政府信息公开申请未达到《政府信息公开信息处理费管理办法》（国办函〔2020〕109号）所规定的信息处理费收费标准，故未收取信息处理费。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Ã¥Â¾Â®Ã¨Â½Â¯Ã©â€ºâ€¦Ã©Â»â€˜" w:eastAsia="仿宋_GB2312" w:cs="仿宋_GB2312"/>
          <w:i w:val="0"/>
          <w:iCs w:val="0"/>
          <w:caps w:val="0"/>
          <w:color w:val="000000"/>
          <w:spacing w:val="0"/>
          <w:sz w:val="32"/>
          <w:szCs w:val="32"/>
          <w:shd w:val="clear" w:fill="FFFFFF"/>
        </w:rPr>
      </w:pPr>
      <w:r>
        <w:rPr>
          <w:rFonts w:hint="default" w:ascii="仿宋_GB2312" w:hAnsi="Ã¥Â¾Â®Ã¨Â½Â¯Ã©â€ºâ€¦Ã©Â»â€˜" w:eastAsia="仿宋_GB2312" w:cs="仿宋_GB2312"/>
          <w:i w:val="0"/>
          <w:iCs w:val="0"/>
          <w:caps w:val="0"/>
          <w:color w:val="000000"/>
          <w:spacing w:val="0"/>
          <w:sz w:val="32"/>
          <w:szCs w:val="32"/>
          <w:shd w:val="clear" w:fill="FFFFFF"/>
        </w:rPr>
        <w:t>2.本行政机关人大代表建议和政协提案办理结果公开情况。全年未承办区级人大代表建议</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及</w:t>
      </w:r>
      <w:r>
        <w:rPr>
          <w:rFonts w:hint="default" w:ascii="仿宋_GB2312" w:hAnsi="Ã¥Â¾Â®Ã¨Â½Â¯Ã©â€ºâ€¦Ã©Â»â€˜" w:eastAsia="仿宋_GB2312" w:cs="仿宋_GB2312"/>
          <w:i w:val="0"/>
          <w:iCs w:val="0"/>
          <w:caps w:val="0"/>
          <w:color w:val="000000"/>
          <w:spacing w:val="0"/>
          <w:sz w:val="32"/>
          <w:szCs w:val="32"/>
          <w:shd w:val="clear" w:fill="FFFFFF"/>
        </w:rPr>
        <w:t>区政协委员提案。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Ã¥Â¾Â®Ã¨Â½Â¯Ã©â€ºâ€¦Ã©Â»â€˜" w:eastAsia="仿宋_GB2312" w:cs="仿宋_GB2312"/>
          <w:i w:val="0"/>
          <w:iCs w:val="0"/>
          <w:caps w:val="0"/>
          <w:color w:val="000000"/>
          <w:spacing w:val="0"/>
          <w:sz w:val="32"/>
          <w:szCs w:val="32"/>
          <w:shd w:val="clear" w:fill="FFFFFF"/>
        </w:rPr>
      </w:pPr>
      <w:r>
        <w:rPr>
          <w:rFonts w:hint="default" w:ascii="仿宋_GB2312" w:hAnsi="Ã¥Â¾Â®Ã¨Â½Â¯Ã©â€ºâ€¦Ã©Â»â€˜" w:eastAsia="仿宋_GB2312" w:cs="仿宋_GB2312"/>
          <w:i w:val="0"/>
          <w:iCs w:val="0"/>
          <w:caps w:val="0"/>
          <w:color w:val="000000"/>
          <w:spacing w:val="0"/>
          <w:sz w:val="32"/>
          <w:szCs w:val="32"/>
          <w:shd w:val="clear" w:fill="FFFFFF"/>
        </w:rPr>
        <w:t>3.本行政机关年度政务公开工作创新情况。认真贯彻落实政务公开各项制度，加强政府网站的资料和内容更新，强化监督，确保政务公开工作质量。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Ã¥Â¾Â®Ã¨Â½Â¯Ã©â€ºâ€¦Ã©Â»â€˜" w:eastAsia="仿宋_GB2312" w:cs="仿宋_GB2312"/>
          <w:i w:val="0"/>
          <w:iCs w:val="0"/>
          <w:caps w:val="0"/>
          <w:color w:val="000000"/>
          <w:spacing w:val="0"/>
          <w:sz w:val="32"/>
          <w:szCs w:val="32"/>
          <w:shd w:val="clear" w:fill="FFFFFF"/>
        </w:rPr>
      </w:pPr>
      <w:r>
        <w:rPr>
          <w:rFonts w:hint="default" w:ascii="仿宋_GB2312" w:hAnsi="Ã¥Â¾Â®Ã¨Â½Â¯Ã©â€ºâ€¦Ã©Â»â€˜" w:eastAsia="仿宋_GB2312" w:cs="仿宋_GB2312"/>
          <w:i w:val="0"/>
          <w:iCs w:val="0"/>
          <w:caps w:val="0"/>
          <w:color w:val="000000"/>
          <w:spacing w:val="0"/>
          <w:sz w:val="32"/>
          <w:szCs w:val="32"/>
          <w:shd w:val="clear" w:fill="FFFFFF"/>
        </w:rPr>
        <w:t>4.本行政机关政府信息公开工作年度报告数据统计需要说明的事项。本报告中所列数据的统计时限为2022年1月1日至2022年12月31日。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Ã¥Â¾Â®Ã¨Â½Â¯Ã©â€ºâ€¦Ã©Â»â€˜" w:eastAsia="仿宋_GB2312" w:cs="仿宋_GB2312"/>
          <w:i w:val="0"/>
          <w:iCs w:val="0"/>
          <w:caps w:val="0"/>
          <w:color w:val="000000"/>
          <w:spacing w:val="0"/>
          <w:sz w:val="32"/>
          <w:szCs w:val="32"/>
          <w:shd w:val="clear" w:fill="FFFFFF"/>
        </w:rPr>
      </w:pPr>
      <w:r>
        <w:rPr>
          <w:rFonts w:hint="default" w:ascii="仿宋_GB2312" w:hAnsi="Ã¥Â¾Â®Ã¨Â½Â¯Ã©â€ºâ€¦Ã©Â»â€˜" w:eastAsia="仿宋_GB2312" w:cs="仿宋_GB2312"/>
          <w:i w:val="0"/>
          <w:iCs w:val="0"/>
          <w:caps w:val="0"/>
          <w:color w:val="000000"/>
          <w:spacing w:val="0"/>
          <w:sz w:val="32"/>
          <w:szCs w:val="32"/>
          <w:shd w:val="clear" w:fill="FFFFFF"/>
        </w:rPr>
        <w:t>5.本行政机关认为需要报告的其他事项。无。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Ã¥Â¾Â®Ã¨Â½Â¯Ã©â€ºâ€¦Ã©Â»â€˜" w:eastAsia="仿宋_GB2312" w:cs="仿宋_GB2312"/>
          <w:i w:val="0"/>
          <w:iCs w:val="0"/>
          <w:caps w:val="0"/>
          <w:color w:val="000000"/>
          <w:spacing w:val="0"/>
          <w:sz w:val="32"/>
          <w:szCs w:val="32"/>
          <w:shd w:val="clear" w:fill="FFFFFF"/>
        </w:rPr>
      </w:pPr>
      <w:r>
        <w:rPr>
          <w:rFonts w:hint="default" w:ascii="仿宋_GB2312" w:hAnsi="Ã¥Â¾Â®Ã¨Â½Â¯Ã©â€ºâ€¦Ã©Â»â€˜" w:eastAsia="仿宋_GB2312" w:cs="仿宋_GB2312"/>
          <w:i w:val="0"/>
          <w:iCs w:val="0"/>
          <w:caps w:val="0"/>
          <w:color w:val="000000"/>
          <w:spacing w:val="0"/>
          <w:sz w:val="32"/>
          <w:szCs w:val="32"/>
          <w:shd w:val="clear" w:fill="FFFFFF"/>
        </w:rPr>
        <w:t>6.其他有关文件专门要求通过政府信息公开工作年度报告予以报告的事项。无。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DZlNDYwOWNmM2VjMjY1M2NlYzgwZjliOWZmZGQifQ=="/>
  </w:docVars>
  <w:rsids>
    <w:rsidRoot w:val="00000000"/>
    <w:rsid w:val="02CB6E62"/>
    <w:rsid w:val="13EB1164"/>
    <w:rsid w:val="16CB5290"/>
    <w:rsid w:val="27B940A3"/>
    <w:rsid w:val="2AE022D8"/>
    <w:rsid w:val="31021C99"/>
    <w:rsid w:val="3F9FE5B8"/>
    <w:rsid w:val="3FE64797"/>
    <w:rsid w:val="40EC12A5"/>
    <w:rsid w:val="413673E6"/>
    <w:rsid w:val="475C0E52"/>
    <w:rsid w:val="499F467E"/>
    <w:rsid w:val="6E5D4170"/>
    <w:rsid w:val="74B912C4"/>
    <w:rsid w:val="757D4235"/>
    <w:rsid w:val="75E9432F"/>
    <w:rsid w:val="CFEFAD3A"/>
    <w:rsid w:val="F7EF9B7A"/>
    <w:rsid w:val="FF3DD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政务公开情况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Sheet1!$A$3:$A$5</c:f>
              <c:numCache>
                <c:formatCode>General</c:formatCode>
                <c:ptCount val="3"/>
                <c:pt idx="0">
                  <c:v>2020</c:v>
                </c:pt>
                <c:pt idx="1">
                  <c:v>2021</c:v>
                </c:pt>
                <c:pt idx="2">
                  <c:v>2022</c:v>
                </c:pt>
              </c:numCache>
            </c:numRef>
          </c:cat>
          <c:val>
            <c:numRef>
              <c:f>Sheet1!$B$3:$B$5</c:f>
              <c:numCache>
                <c:formatCode>General</c:formatCode>
                <c:ptCount val="3"/>
                <c:pt idx="0">
                  <c:v>34</c:v>
                </c:pt>
                <c:pt idx="1">
                  <c:v>42</c:v>
                </c:pt>
                <c:pt idx="2">
                  <c:v>44</c:v>
                </c:pt>
              </c:numCache>
            </c:numRef>
          </c:val>
        </c:ser>
        <c:dLbls>
          <c:showLegendKey val="0"/>
          <c:showVal val="1"/>
          <c:showCatName val="0"/>
          <c:showSerName val="0"/>
          <c:showPercent val="0"/>
          <c:showBubbleSize val="0"/>
        </c:dLbls>
        <c:gapWidth val="219"/>
        <c:overlap val="-27"/>
        <c:axId val="504706664"/>
        <c:axId val="850141016"/>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
                        </c15:fullRef>
                        <c15:formulaRef>
                          <c15:sqref>Sheet1!$A$3:$A$5</c15:sqref>
                        </c15:formulaRef>
                      </c:ext>
                    </c:extLst>
                    <c:numCache>
                      <c:formatCode>General</c:formatCode>
                      <c:ptCount val="3"/>
                      <c:pt idx="0">
                        <c:v>2020</c:v>
                      </c:pt>
                      <c:pt idx="1">
                        <c:v>2021</c:v>
                      </c:pt>
                      <c:pt idx="2">
                        <c:v>2022</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
                        </c15:fullRef>
                        <c15:formulaRef>
                          <c15:sqref>Sheet1!$A$3:$A$5</c15:sqref>
                        </c15:formulaRef>
                      </c:ext>
                    </c:extLst>
                    <c:numCache>
                      <c:formatCode>General</c:formatCode>
                      <c:ptCount val="3"/>
                      <c:pt idx="0">
                        <c:v>2020</c:v>
                      </c:pt>
                      <c:pt idx="1">
                        <c:v>2021</c:v>
                      </c:pt>
                      <c:pt idx="2">
                        <c:v>2022</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047066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41016"/>
        <c:crosses val="autoZero"/>
        <c:auto val="1"/>
        <c:lblAlgn val="ctr"/>
        <c:lblOffset val="100"/>
        <c:noMultiLvlLbl val="0"/>
      </c:catAx>
      <c:valAx>
        <c:axId val="850141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47066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1915</Words>
  <Characters>1972</Characters>
  <Lines>0</Lines>
  <Paragraphs>0</Paragraphs>
  <TotalTime>2</TotalTime>
  <ScaleCrop>false</ScaleCrop>
  <LinksUpToDate>false</LinksUpToDate>
  <CharactersWithSpaces>2167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2021-12-03T02:15:00Z</dcterms:created>
  <dc:creator>Administrator</dc:creator>
  <cp:lastModifiedBy>Lenovo</cp:lastModifiedBy>
  <dcterms:modified xsi:type="dcterms:W3CDTF">2023-02-14T09:09:17Z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F1C36C0ABE71413A8E56DE874DC16277</vt:lpwstr>
  </property>
</Properties>
</file>