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adjustRightInd w:val="0"/>
        <w:snapToGrid w:val="0"/>
        <w:spacing w:before="0" w:beforeAutospacing="0" w:after="0" w:afterAutospacing="0"/>
        <w:jc w:val="center"/>
        <w:rPr>
          <w:rFonts w:ascii="黑体" w:hAnsi="黑体" w:eastAsia="黑体" w:cs="黑体"/>
          <w:color w:val="000000"/>
          <w:shd w:val="clear" w:color="auto" w:fill="FFFFFF"/>
        </w:rPr>
      </w:pPr>
      <w:bookmarkStart w:id="0" w:name="_GoBack"/>
      <w:bookmarkEnd w:id="0"/>
      <w:r>
        <w:rPr>
          <w:rFonts w:ascii="黑体" w:hAnsi="黑体" w:eastAsia="黑体" w:cs="黑体"/>
          <w:color w:val="000000"/>
          <w:shd w:val="clear" w:color="auto" w:fill="FFFFFF"/>
        </w:rPr>
        <w:t>国家税务总局枣庄高新技术产业开发区税务局2022年政府信息公开工作年度报告</w:t>
      </w:r>
    </w:p>
    <w:p>
      <w:pPr>
        <w:pStyle w:val="5"/>
        <w:widowControl/>
        <w:shd w:val="clear" w:color="auto" w:fill="FFFFFF"/>
        <w:spacing w:beforeAutospacing="0" w:afterAutospacing="0"/>
        <w:ind w:firstLine="420"/>
        <w:jc w:val="both"/>
        <w:rPr>
          <w:rFonts w:ascii="宋体" w:hAnsi="宋体" w:cs="宋体"/>
        </w:rPr>
      </w:pPr>
    </w:p>
    <w:p>
      <w:pPr>
        <w:widowControl/>
        <w:spacing w:line="320"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本报告根据《中华人民共和国政府信息公开条例》（以下简称《条例》），向社会公布2022年度国家税务总局枣庄高新技术产业开发区税务局政府信息公开工作情况。本报告包括总体情况、主动公开政府信息情况、收到和处理政府信息公开申请情况、政府信息公开行政复议、行政诉讼情况、存在的主要问题及改进情况和其他需要报告的事项。本年度报告中所列数据的统计期限自2022年1月1日起至2022年12月31日止。如对本报告有疑问，可与国家税务总局枣庄高新技术产业开发区税务局联系（地址：薛城区光明大道2157号；联系电话：0632-8699177；电子邮箱：gxqswj8699177@163.com）</w:t>
      </w:r>
    </w:p>
    <w:p>
      <w:pPr>
        <w:pStyle w:val="5"/>
        <w:widowControl/>
        <w:shd w:val="clear" w:color="auto" w:fill="FFFFFF"/>
        <w:spacing w:beforeAutospacing="0" w:afterAutospacing="0"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一、总体情况</w:t>
      </w:r>
    </w:p>
    <w:p>
      <w:pPr>
        <w:widowControl/>
        <w:spacing w:line="360" w:lineRule="auto"/>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2022年，国家税务总局枣庄高新技术产业开发区税务局（以下简称“</w:t>
      </w:r>
      <w:r>
        <w:rPr>
          <w:rFonts w:hint="eastAsia" w:ascii="仿宋" w:hAnsi="仿宋" w:eastAsia="仿宋" w:cs="仿宋"/>
          <w:color w:val="333333"/>
          <w:kern w:val="0"/>
          <w:sz w:val="32"/>
          <w:szCs w:val="32"/>
          <w:lang w:val="zh-CN"/>
        </w:rPr>
        <w:t>枣庄高新技术产业开发区税务局”）</w:t>
      </w:r>
      <w:r>
        <w:rPr>
          <w:rFonts w:hint="eastAsia" w:ascii="仿宋" w:hAnsi="仿宋" w:eastAsia="仿宋" w:cs="仿宋"/>
          <w:color w:val="333333"/>
          <w:kern w:val="0"/>
          <w:sz w:val="32"/>
          <w:szCs w:val="32"/>
        </w:rPr>
        <w:t>坚持以习近平新时代中国特色社会主义思想为指导，深入贯彻落实《条例》关于政务公开工作的部署和要求，结合工作实际，加强组织领导，建立健全机制，规范运作机制，积极有序地推进政府信息公开工作的开展。</w:t>
      </w:r>
    </w:p>
    <w:p>
      <w:pPr>
        <w:pStyle w:val="5"/>
        <w:widowControl/>
        <w:numPr>
          <w:ilvl w:val="0"/>
          <w:numId w:val="1"/>
        </w:numPr>
        <w:spacing w:beforeAutospacing="0" w:afterAutospacing="0" w:line="360" w:lineRule="auto"/>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主动公开情况。将政务公开作为推进营商环境建设的重要举措，完善组织结构，打造职责分明、分工合理、各负其责、齐抓共管的工作局面，从严从细落实政务公开，切实把思想统一到上级的决策部署上来。2022年，</w:t>
      </w:r>
      <w:r>
        <w:rPr>
          <w:rFonts w:hint="eastAsia" w:ascii="仿宋" w:hAnsi="仿宋" w:eastAsia="仿宋" w:cs="仿宋"/>
          <w:color w:val="333333"/>
          <w:sz w:val="32"/>
          <w:szCs w:val="32"/>
          <w:lang w:val="zh-CN"/>
        </w:rPr>
        <w:t>枣庄高新技术产业开发区税务局</w:t>
      </w:r>
      <w:r>
        <w:rPr>
          <w:rFonts w:ascii="仿宋" w:hAnsi="仿宋" w:eastAsia="仿宋" w:cs="仿宋"/>
          <w:color w:val="333333"/>
          <w:sz w:val="32"/>
          <w:szCs w:val="32"/>
        </w:rPr>
        <w:t>在政务公开网站中主动发布信息</w:t>
      </w:r>
      <w:r>
        <w:rPr>
          <w:rFonts w:hint="eastAsia" w:ascii="仿宋" w:hAnsi="仿宋" w:eastAsia="仿宋" w:cs="仿宋"/>
          <w:color w:val="333333"/>
          <w:sz w:val="32"/>
          <w:szCs w:val="32"/>
        </w:rPr>
        <w:t xml:space="preserve">234条，所有主动公开信息均按照信息发布流程在规定渠道及时发布。   </w:t>
      </w:r>
    </w:p>
    <w:p>
      <w:pPr>
        <w:pStyle w:val="5"/>
        <w:widowControl/>
        <w:spacing w:beforeAutospacing="0" w:afterAutospacing="0" w:line="360" w:lineRule="auto"/>
        <w:ind w:left="640"/>
        <w:jc w:val="both"/>
        <w:rPr>
          <w:rFonts w:hint="eastAsia" w:ascii="仿宋" w:hAnsi="仿宋" w:eastAsia="仿宋" w:cs="仿宋"/>
          <w:color w:val="333333"/>
          <w:sz w:val="32"/>
          <w:szCs w:val="32"/>
        </w:rPr>
      </w:pPr>
    </w:p>
    <w:p>
      <w:pPr>
        <w:pStyle w:val="5"/>
        <w:widowControl/>
        <w:spacing w:beforeAutospacing="0" w:afterAutospacing="0" w:line="360" w:lineRule="auto"/>
        <w:ind w:left="640"/>
        <w:jc w:val="both"/>
        <w:rPr>
          <w:rFonts w:hint="eastAsia" w:ascii="仿宋" w:hAnsi="仿宋" w:eastAsia="仿宋" w:cs="仿宋"/>
          <w:color w:val="333333"/>
          <w:sz w:val="32"/>
          <w:szCs w:val="32"/>
        </w:rPr>
      </w:pPr>
      <w:r>
        <w:rPr>
          <w:rFonts w:ascii="仿宋" w:hAnsi="仿宋" w:eastAsia="仿宋" w:cs="仿宋"/>
          <w:color w:val="333333"/>
          <w:sz w:val="32"/>
          <w:szCs w:val="32"/>
          <w:lang/>
        </w:rPr>
        <w:drawing>
          <wp:inline distT="0" distB="0" distL="114300" distR="114300">
            <wp:extent cx="4578985" cy="2830830"/>
            <wp:effectExtent l="4445" t="4445" r="7620"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widowControl/>
        <w:spacing w:beforeAutospacing="0" w:afterAutospacing="0" w:line="360" w:lineRule="auto"/>
        <w:ind w:firstLine="640" w:firstLineChars="200"/>
        <w:jc w:val="both"/>
        <w:rPr>
          <w:rFonts w:hint="eastAsia" w:ascii="仿宋" w:hAnsi="仿宋" w:eastAsia="仿宋" w:cs="仿宋"/>
          <w:color w:val="FF0000"/>
          <w:sz w:val="32"/>
          <w:szCs w:val="32"/>
        </w:rPr>
      </w:pPr>
      <w:r>
        <w:rPr>
          <w:rFonts w:hint="eastAsia" w:ascii="仿宋" w:hAnsi="仿宋" w:eastAsia="仿宋" w:cs="仿宋"/>
          <w:color w:val="333333"/>
          <w:sz w:val="32"/>
          <w:szCs w:val="32"/>
        </w:rPr>
        <w:t>（二）依申请公开情况。2022年度，枣庄高新技术产业开发区税务局未</w:t>
      </w:r>
      <w:r>
        <w:rPr>
          <w:rFonts w:ascii="仿宋" w:hAnsi="仿宋" w:eastAsia="仿宋" w:cs="仿宋"/>
          <w:color w:val="333333"/>
          <w:sz w:val="32"/>
          <w:szCs w:val="32"/>
        </w:rPr>
        <w:t>收到</w:t>
      </w:r>
      <w:r>
        <w:rPr>
          <w:rFonts w:hint="eastAsia" w:ascii="仿宋" w:hAnsi="仿宋" w:eastAsia="仿宋" w:cs="仿宋"/>
          <w:color w:val="333333"/>
          <w:sz w:val="32"/>
          <w:szCs w:val="32"/>
        </w:rPr>
        <w:t>政府信息公开申请，也未出现因政府信息公开工作引发的行政复议和行政诉讼</w:t>
      </w:r>
      <w:r>
        <w:rPr>
          <w:rFonts w:ascii="仿宋" w:hAnsi="仿宋" w:eastAsia="仿宋" w:cs="仿宋"/>
          <w:color w:val="333333"/>
          <w:sz w:val="32"/>
          <w:szCs w:val="32"/>
        </w:rPr>
        <w:t>。</w:t>
      </w:r>
    </w:p>
    <w:p>
      <w:pPr>
        <w:pStyle w:val="5"/>
        <w:widowControl/>
        <w:spacing w:beforeAutospacing="0" w:afterAutospacing="0" w:line="360" w:lineRule="auto"/>
        <w:ind w:firstLine="640" w:firstLineChars="200"/>
        <w:jc w:val="both"/>
        <w:rPr>
          <w:rFonts w:hint="eastAsia" w:ascii="Times New Roman" w:hAnsi="Times New Roman" w:eastAsia="仿宋"/>
          <w:color w:val="0070C0"/>
          <w:sz w:val="32"/>
          <w:szCs w:val="32"/>
          <w:shd w:val="clear" w:color="auto" w:fill="FFFFFF"/>
        </w:rPr>
      </w:pPr>
      <w:r>
        <w:rPr>
          <w:rFonts w:hint="eastAsia" w:ascii="Times New Roman" w:hAnsi="Times New Roman" w:eastAsia="仿宋"/>
          <w:color w:val="000000"/>
          <w:sz w:val="32"/>
          <w:szCs w:val="32"/>
          <w:shd w:val="clear" w:color="auto" w:fill="FFFFFF"/>
        </w:rPr>
        <w:t>（三）政府信息管理。一是</w:t>
      </w:r>
      <w:r>
        <w:rPr>
          <w:rFonts w:ascii="Times New Roman" w:hAnsi="Times New Roman" w:eastAsia="仿宋"/>
          <w:color w:val="000000"/>
          <w:sz w:val="32"/>
          <w:szCs w:val="32"/>
          <w:shd w:val="clear" w:color="auto" w:fill="FFFFFF"/>
        </w:rPr>
        <w:t>严格落实信息公开审查机制</w:t>
      </w:r>
      <w:r>
        <w:rPr>
          <w:rFonts w:hint="eastAsia" w:ascii="Times New Roman" w:hAnsi="Times New Roman" w:eastAsia="仿宋"/>
          <w:color w:val="000000"/>
          <w:sz w:val="32"/>
          <w:szCs w:val="32"/>
          <w:shd w:val="clear" w:color="auto" w:fill="FFFFFF"/>
        </w:rPr>
        <w:t>。</w:t>
      </w:r>
      <w:r>
        <w:rPr>
          <w:rFonts w:ascii="Times New Roman" w:hAnsi="Times New Roman" w:eastAsia="仿宋"/>
          <w:color w:val="000000"/>
          <w:sz w:val="32"/>
          <w:szCs w:val="32"/>
          <w:shd w:val="clear" w:color="auto" w:fill="FFFFFF"/>
        </w:rPr>
        <w:t>严格落实信息网上发布审核机制，从源头上确保公开实效，</w:t>
      </w:r>
      <w:r>
        <w:rPr>
          <w:rFonts w:hint="eastAsia" w:ascii="Times New Roman" w:hAnsi="Times New Roman" w:eastAsia="仿宋"/>
          <w:color w:val="000000"/>
          <w:sz w:val="32"/>
          <w:szCs w:val="32"/>
          <w:shd w:val="clear" w:color="auto" w:fill="FFFFFF"/>
        </w:rPr>
        <w:t>规范</w:t>
      </w:r>
      <w:r>
        <w:rPr>
          <w:rFonts w:ascii="Times New Roman" w:hAnsi="Times New Roman" w:eastAsia="仿宋"/>
          <w:color w:val="000000"/>
          <w:sz w:val="32"/>
          <w:szCs w:val="32"/>
          <w:shd w:val="clear" w:color="auto" w:fill="FFFFFF"/>
        </w:rPr>
        <w:t>申请</w:t>
      </w:r>
      <w:r>
        <w:rPr>
          <w:rFonts w:hint="eastAsia" w:ascii="Times New Roman" w:hAnsi="Times New Roman" w:eastAsia="仿宋"/>
          <w:color w:val="000000"/>
          <w:sz w:val="32"/>
          <w:szCs w:val="32"/>
          <w:shd w:val="clear" w:color="auto" w:fill="FFFFFF"/>
        </w:rPr>
        <w:t>、</w:t>
      </w:r>
      <w:r>
        <w:rPr>
          <w:rFonts w:ascii="Times New Roman" w:hAnsi="Times New Roman" w:eastAsia="仿宋"/>
          <w:color w:val="000000"/>
          <w:sz w:val="32"/>
          <w:szCs w:val="32"/>
          <w:shd w:val="clear" w:color="auto" w:fill="FFFFFF"/>
        </w:rPr>
        <w:t>受理</w:t>
      </w:r>
      <w:r>
        <w:rPr>
          <w:rFonts w:hint="eastAsia" w:ascii="Times New Roman" w:hAnsi="Times New Roman" w:eastAsia="仿宋"/>
          <w:color w:val="000000"/>
          <w:sz w:val="32"/>
          <w:szCs w:val="32"/>
          <w:shd w:val="clear" w:color="auto" w:fill="FFFFFF"/>
        </w:rPr>
        <w:t>、</w:t>
      </w:r>
      <w:r>
        <w:rPr>
          <w:rFonts w:ascii="Times New Roman" w:hAnsi="Times New Roman" w:eastAsia="仿宋"/>
          <w:color w:val="000000"/>
          <w:sz w:val="32"/>
          <w:szCs w:val="32"/>
          <w:shd w:val="clear" w:color="auto" w:fill="FFFFFF"/>
        </w:rPr>
        <w:t>答复各环节</w:t>
      </w:r>
      <w:r>
        <w:rPr>
          <w:rFonts w:hint="eastAsia" w:ascii="Times New Roman" w:hAnsi="Times New Roman" w:eastAsia="仿宋"/>
          <w:color w:val="000000"/>
          <w:sz w:val="32"/>
          <w:szCs w:val="32"/>
          <w:shd w:val="clear" w:color="auto" w:fill="FFFFFF"/>
        </w:rPr>
        <w:t>等流程，</w:t>
      </w:r>
      <w:r>
        <w:rPr>
          <w:rFonts w:ascii="Times New Roman" w:hAnsi="Times New Roman" w:eastAsia="仿宋"/>
          <w:color w:val="000000"/>
          <w:sz w:val="32"/>
          <w:szCs w:val="32"/>
          <w:shd w:val="clear" w:color="auto" w:fill="FFFFFF"/>
        </w:rPr>
        <w:t>对所公开事项内容进行审核、把关，确保公开内容的合法性、准确性、严肃性，切实提升公开质量。</w:t>
      </w:r>
      <w:r>
        <w:rPr>
          <w:rFonts w:hint="eastAsia" w:ascii="Times New Roman" w:hAnsi="Times New Roman" w:eastAsia="仿宋"/>
          <w:color w:val="000000"/>
          <w:sz w:val="32"/>
          <w:szCs w:val="32"/>
          <w:shd w:val="clear" w:color="auto" w:fill="FFFFFF"/>
        </w:rPr>
        <w:t>二是严格</w:t>
      </w:r>
      <w:r>
        <w:rPr>
          <w:rFonts w:ascii="Times New Roman" w:hAnsi="Times New Roman" w:eastAsia="仿宋"/>
          <w:color w:val="000000"/>
          <w:sz w:val="32"/>
          <w:szCs w:val="32"/>
          <w:shd w:val="clear" w:color="auto" w:fill="FFFFFF"/>
        </w:rPr>
        <w:t>落实</w:t>
      </w:r>
      <w:r>
        <w:rPr>
          <w:rFonts w:hint="eastAsia" w:ascii="Times New Roman" w:hAnsi="Times New Roman" w:eastAsia="仿宋"/>
          <w:color w:val="000000"/>
          <w:sz w:val="32"/>
          <w:szCs w:val="32"/>
          <w:shd w:val="clear" w:color="auto" w:fill="FFFFFF"/>
        </w:rPr>
        <w:t>专人专岗。设置</w:t>
      </w:r>
      <w:r>
        <w:rPr>
          <w:rFonts w:ascii="Times New Roman" w:hAnsi="Times New Roman" w:eastAsia="仿宋"/>
          <w:color w:val="000000"/>
          <w:sz w:val="32"/>
          <w:szCs w:val="32"/>
          <w:shd w:val="clear" w:color="auto" w:fill="FFFFFF"/>
        </w:rPr>
        <w:t>专人承担政府信息公开的各项工作任务</w:t>
      </w:r>
      <w:r>
        <w:rPr>
          <w:rFonts w:hint="eastAsia" w:ascii="Times New Roman" w:hAnsi="Times New Roman" w:eastAsia="仿宋"/>
          <w:color w:val="000000"/>
          <w:sz w:val="32"/>
          <w:szCs w:val="32"/>
          <w:shd w:val="clear" w:color="auto" w:fill="FFFFFF"/>
        </w:rPr>
        <w:t>。</w:t>
      </w:r>
    </w:p>
    <w:p>
      <w:pPr>
        <w:pStyle w:val="5"/>
        <w:widowControl/>
        <w:spacing w:beforeAutospacing="0" w:afterAutospacing="0" w:line="360" w:lineRule="auto"/>
        <w:ind w:firstLine="640" w:firstLineChars="200"/>
        <w:jc w:val="both"/>
        <w:rPr>
          <w:rFonts w:hint="eastAsia" w:ascii="Times New Roman" w:hAnsi="Times New Roman"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（四）</w:t>
      </w:r>
      <w:r>
        <w:rPr>
          <w:rFonts w:ascii="Times New Roman" w:hAnsi="Times New Roman" w:eastAsia="仿宋"/>
          <w:color w:val="000000"/>
          <w:sz w:val="32"/>
          <w:szCs w:val="32"/>
          <w:shd w:val="clear" w:color="auto" w:fill="FFFFFF"/>
        </w:rPr>
        <w:t>政府信息公开平台建设。充分用好政府网站政务公开主阵地，在政府门户网站及时发布更新</w:t>
      </w:r>
      <w:r>
        <w:rPr>
          <w:rFonts w:hint="eastAsia" w:ascii="Times New Roman" w:hAnsi="Times New Roman" w:eastAsia="仿宋"/>
          <w:color w:val="000000"/>
          <w:sz w:val="32"/>
          <w:szCs w:val="32"/>
          <w:shd w:val="clear" w:color="auto" w:fill="FFFFFF"/>
        </w:rPr>
        <w:t>区局</w:t>
      </w:r>
      <w:r>
        <w:rPr>
          <w:rFonts w:ascii="Times New Roman" w:hAnsi="Times New Roman" w:eastAsia="仿宋"/>
          <w:color w:val="000000"/>
          <w:sz w:val="32"/>
          <w:szCs w:val="32"/>
          <w:shd w:val="clear" w:color="auto" w:fill="FFFFFF"/>
        </w:rPr>
        <w:t>信息。</w:t>
      </w:r>
      <w:r>
        <w:rPr>
          <w:rFonts w:hint="eastAsia" w:ascii="Times New Roman" w:hAnsi="Times New Roman" w:eastAsia="仿宋"/>
          <w:color w:val="000000"/>
          <w:sz w:val="32"/>
          <w:szCs w:val="32"/>
          <w:shd w:val="clear" w:color="auto" w:fill="FFFFFF"/>
        </w:rPr>
        <w:t>同时，以市局门户网站、办税服务厅电子滚动屏幕、信息公开栏、导税功能区等媒介，加强信息公开栏目建设，做好信息公开维护。</w:t>
      </w:r>
    </w:p>
    <w:p>
      <w:pPr>
        <w:pStyle w:val="5"/>
        <w:widowControl/>
        <w:spacing w:beforeAutospacing="0" w:afterAutospacing="0" w:line="360" w:lineRule="auto"/>
        <w:ind w:firstLine="640" w:firstLineChars="200"/>
        <w:jc w:val="both"/>
        <w:rPr>
          <w:rFonts w:ascii="仿宋" w:hAnsi="仿宋" w:eastAsia="仿宋" w:cs="仿宋"/>
          <w:sz w:val="32"/>
          <w:szCs w:val="32"/>
        </w:rPr>
      </w:pPr>
      <w:r>
        <w:rPr>
          <w:rFonts w:hint="eastAsia" w:ascii="Times New Roman" w:hAnsi="Times New Roman" w:eastAsia="仿宋"/>
          <w:color w:val="000000"/>
          <w:sz w:val="32"/>
          <w:szCs w:val="32"/>
          <w:shd w:val="clear" w:color="auto" w:fill="FFFFFF"/>
        </w:rPr>
        <w:t>（五）</w:t>
      </w:r>
      <w:r>
        <w:rPr>
          <w:rFonts w:ascii="Times New Roman" w:hAnsi="Times New Roman" w:eastAsia="仿宋"/>
          <w:color w:val="000000"/>
          <w:sz w:val="32"/>
          <w:szCs w:val="32"/>
          <w:shd w:val="clear" w:color="auto" w:fill="FFFFFF"/>
        </w:rPr>
        <w:t>监督保障</w:t>
      </w:r>
      <w:r>
        <w:rPr>
          <w:rFonts w:hint="eastAsia" w:ascii="Times New Roman" w:hAnsi="Times New Roman" w:eastAsia="仿宋"/>
          <w:color w:val="000000"/>
          <w:sz w:val="32"/>
          <w:szCs w:val="32"/>
          <w:shd w:val="clear" w:color="auto" w:fill="FFFFFF"/>
        </w:rPr>
        <w:t>情况。一是</w:t>
      </w:r>
      <w:r>
        <w:rPr>
          <w:rFonts w:hint="eastAsia" w:ascii="仿宋" w:hAnsi="仿宋" w:eastAsia="仿宋" w:cs="仿宋"/>
          <w:sz w:val="32"/>
          <w:szCs w:val="32"/>
        </w:rPr>
        <w:t>将政府信息公开列入区局绩效考核指标体系，按照工作要求，扎实推进，严格考核。二是主动接受上级机关和地方政府的监督指导。在日常工作中，定期查缺补漏，明确各部门工作职责，切实加强对政府信息公开工作的常态化管理和监督。</w:t>
      </w:r>
    </w:p>
    <w:p>
      <w:pPr>
        <w:pStyle w:val="5"/>
        <w:widowControl/>
        <w:shd w:val="clear" w:color="auto" w:fill="FFFFFF"/>
        <w:adjustRightInd w:val="0"/>
        <w:snapToGrid w:val="0"/>
        <w:spacing w:beforeAutospacing="0" w:afterAutospacing="0" w:line="800" w:lineRule="exact"/>
        <w:ind w:firstLine="640" w:firstLineChars="200"/>
        <w:jc w:val="both"/>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二、主动公开政府信息情况</w:t>
      </w:r>
    </w:p>
    <w:tbl>
      <w:tblPr>
        <w:tblStyle w:val="6"/>
        <w:tblW w:w="8824" w:type="dxa"/>
        <w:jc w:val="center"/>
        <w:tblLayout w:type="autofit"/>
        <w:tblCellMar>
          <w:top w:w="15" w:type="dxa"/>
          <w:left w:w="15" w:type="dxa"/>
          <w:bottom w:w="15" w:type="dxa"/>
          <w:right w:w="15" w:type="dxa"/>
        </w:tblCellMar>
      </w:tblPr>
      <w:tblGrid>
        <w:gridCol w:w="2935"/>
        <w:gridCol w:w="2175"/>
        <w:gridCol w:w="1965"/>
        <w:gridCol w:w="1749"/>
      </w:tblGrid>
      <w:tr>
        <w:tblPrEx>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eastAsia="黑体"/>
                <w:color w:val="000000"/>
              </w:rPr>
              <w:t>第二十条第（一）项</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信息内容</w:t>
            </w:r>
          </w:p>
        </w:tc>
        <w:tc>
          <w:tcPr>
            <w:tcW w:w="2175"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宋体" w:hAnsi="宋体" w:cs="宋体"/>
              </w:rPr>
              <w:t>本年制发件数</w:t>
            </w:r>
          </w:p>
        </w:tc>
        <w:tc>
          <w:tcPr>
            <w:tcW w:w="1965"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宋体" w:hAnsi="宋体" w:cs="宋体"/>
              </w:rPr>
              <w:t>本年废止件数</w:t>
            </w:r>
          </w:p>
        </w:tc>
        <w:tc>
          <w:tcPr>
            <w:tcW w:w="1749"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hint="eastAsia" w:ascii="Times New Roman" w:hAnsi="Times New Roman"/>
              </w:rPr>
            </w:pPr>
            <w:r>
              <w:rPr>
                <w:rFonts w:hint="eastAsia" w:ascii="宋体" w:hAnsi="宋体" w:cs="宋体"/>
              </w:rPr>
              <w:t>现行有效件数</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规章</w:t>
            </w:r>
          </w:p>
        </w:tc>
        <w:tc>
          <w:tcPr>
            <w:tcW w:w="2175"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color w:val="000000"/>
              </w:rPr>
              <w:t>0</w:t>
            </w:r>
          </w:p>
        </w:tc>
        <w:tc>
          <w:tcPr>
            <w:tcW w:w="1965"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0</w:t>
            </w:r>
          </w:p>
        </w:tc>
        <w:tc>
          <w:tcPr>
            <w:tcW w:w="1749"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color w:val="000000"/>
              </w:rPr>
              <w:t>0</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行政规范性文件</w:t>
            </w:r>
          </w:p>
        </w:tc>
        <w:tc>
          <w:tcPr>
            <w:tcW w:w="2175"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color w:val="000000"/>
              </w:rPr>
              <w:t>0</w:t>
            </w:r>
          </w:p>
        </w:tc>
        <w:tc>
          <w:tcPr>
            <w:tcW w:w="1965"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0</w:t>
            </w:r>
          </w:p>
        </w:tc>
        <w:tc>
          <w:tcPr>
            <w:tcW w:w="1749" w:type="dxa"/>
            <w:tcBorders>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color w:val="000000"/>
              </w:rPr>
              <w:t>0</w:t>
            </w:r>
          </w:p>
        </w:tc>
      </w:tr>
      <w:tr>
        <w:tblPrEx>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top w:w="60" w:type="dxa"/>
              <w:left w:w="100" w:type="dxa"/>
              <w:bottom w:w="60" w:type="dxa"/>
              <w:right w:w="100" w:type="dxa"/>
            </w:tcMar>
            <w:vAlign w:val="center"/>
          </w:tcPr>
          <w:p>
            <w:pPr>
              <w:pStyle w:val="5"/>
              <w:widowControl/>
              <w:adjustRightInd w:val="0"/>
              <w:snapToGrid w:val="0"/>
              <w:spacing w:beforeAutospacing="0" w:afterAutospacing="0"/>
              <w:ind w:firstLine="480" w:firstLineChars="200"/>
              <w:jc w:val="center"/>
              <w:rPr>
                <w:rFonts w:ascii="Times New Roman" w:hAnsi="Times New Roman"/>
              </w:rPr>
            </w:pPr>
            <w:r>
              <w:rPr>
                <w:rFonts w:ascii="Times New Roman" w:hAnsi="Times New Roman" w:eastAsia="黑体"/>
                <w:color w:val="000000"/>
              </w:rPr>
              <w:t>第二十条第（五）项</w:t>
            </w:r>
          </w:p>
        </w:tc>
      </w:tr>
      <w:tr>
        <w:tblPrEx>
          <w:tblCellMar>
            <w:top w:w="15" w:type="dxa"/>
            <w:left w:w="15" w:type="dxa"/>
            <w:bottom w:w="15" w:type="dxa"/>
            <w:right w:w="15" w:type="dxa"/>
          </w:tblCellMar>
        </w:tblPrEx>
        <w:trPr>
          <w:trHeight w:val="567" w:hRule="atLeast"/>
          <w:jc w:val="center"/>
        </w:trPr>
        <w:tc>
          <w:tcPr>
            <w:tcW w:w="2935" w:type="dxa"/>
            <w:tcBorders>
              <w:top w:val="single" w:color="000000" w:sz="8" w:space="0"/>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信息内容</w:t>
            </w:r>
          </w:p>
        </w:tc>
        <w:tc>
          <w:tcPr>
            <w:tcW w:w="5889" w:type="dxa"/>
            <w:gridSpan w:val="3"/>
            <w:tcBorders>
              <w:top w:val="single" w:color="000000" w:sz="8" w:space="0"/>
              <w:left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宋体" w:hAnsi="宋体" w:cs="宋体"/>
              </w:rPr>
              <w:t>本年处理决定数量</w:t>
            </w:r>
          </w:p>
        </w:tc>
      </w:tr>
      <w:tr>
        <w:tblPrEx>
          <w:tblCellMar>
            <w:top w:w="15" w:type="dxa"/>
            <w:left w:w="15" w:type="dxa"/>
            <w:bottom w:w="15" w:type="dxa"/>
            <w:right w:w="15" w:type="dxa"/>
          </w:tblCellMar>
        </w:tblPrEx>
        <w:trPr>
          <w:trHeight w:val="567" w:hRule="atLeast"/>
          <w:jc w:val="center"/>
        </w:trPr>
        <w:tc>
          <w:tcPr>
            <w:tcW w:w="2935" w:type="dxa"/>
            <w:tcBorders>
              <w:top w:val="single" w:color="000000" w:sz="8" w:space="0"/>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行政许可</w:t>
            </w:r>
          </w:p>
        </w:tc>
        <w:tc>
          <w:tcPr>
            <w:tcW w:w="5889" w:type="dxa"/>
            <w:gridSpan w:val="3"/>
            <w:tcBorders>
              <w:top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rPr>
              <w:t>3934</w:t>
            </w:r>
          </w:p>
        </w:tc>
      </w:tr>
      <w:tr>
        <w:tblPrEx>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top w:w="60" w:type="dxa"/>
              <w:left w:w="100" w:type="dxa"/>
              <w:bottom w:w="60" w:type="dxa"/>
              <w:right w:w="100" w:type="dxa"/>
            </w:tcMar>
            <w:vAlign w:val="center"/>
          </w:tcPr>
          <w:p>
            <w:pPr>
              <w:pStyle w:val="5"/>
              <w:widowControl/>
              <w:adjustRightInd w:val="0"/>
              <w:snapToGrid w:val="0"/>
              <w:spacing w:beforeAutospacing="0" w:afterAutospacing="0"/>
              <w:ind w:firstLine="480" w:firstLineChars="200"/>
              <w:jc w:val="center"/>
              <w:rPr>
                <w:rFonts w:ascii="Times New Roman" w:hAnsi="Times New Roman"/>
              </w:rPr>
            </w:pPr>
            <w:r>
              <w:rPr>
                <w:rFonts w:ascii="Times New Roman" w:hAnsi="Times New Roman" w:eastAsia="黑体"/>
                <w:color w:val="000000"/>
              </w:rPr>
              <w:t>第二十条第（六）项</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信息内容</w:t>
            </w:r>
          </w:p>
        </w:tc>
        <w:tc>
          <w:tcPr>
            <w:tcW w:w="5889" w:type="dxa"/>
            <w:gridSpan w:val="3"/>
            <w:tcBorders>
              <w:top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宋体" w:hAnsi="宋体" w:cs="宋体"/>
              </w:rPr>
              <w:t>本年处理决定数量</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行政处罚</w:t>
            </w:r>
          </w:p>
        </w:tc>
        <w:tc>
          <w:tcPr>
            <w:tcW w:w="5889" w:type="dxa"/>
            <w:gridSpan w:val="3"/>
            <w:tcBorders>
              <w:top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color w:val="FF0000"/>
              </w:rPr>
            </w:pPr>
            <w:r>
              <w:rPr>
                <w:rFonts w:hint="eastAsia" w:ascii="Times New Roman" w:hAnsi="Times New Roman"/>
              </w:rPr>
              <w:t>708</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行政强制</w:t>
            </w:r>
          </w:p>
        </w:tc>
        <w:tc>
          <w:tcPr>
            <w:tcW w:w="5889" w:type="dxa"/>
            <w:gridSpan w:val="3"/>
            <w:tcBorders>
              <w:top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rPr>
              <w:t>0</w:t>
            </w:r>
          </w:p>
        </w:tc>
      </w:tr>
      <w:tr>
        <w:tblPrEx>
          <w:tblCellMar>
            <w:top w:w="15" w:type="dxa"/>
            <w:left w:w="15" w:type="dxa"/>
            <w:bottom w:w="15" w:type="dxa"/>
            <w:right w:w="15" w:type="dxa"/>
          </w:tblCellMar>
        </w:tblPrEx>
        <w:trPr>
          <w:trHeight w:val="567" w:hRule="atLeast"/>
          <w:jc w:val="center"/>
        </w:trPr>
        <w:tc>
          <w:tcPr>
            <w:tcW w:w="8824"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eastAsia="黑体"/>
                <w:color w:val="000000"/>
              </w:rPr>
              <w:t>第二十条第（八）项</w:t>
            </w:r>
          </w:p>
        </w:tc>
      </w:tr>
      <w:tr>
        <w:tblPrEx>
          <w:tblCellMar>
            <w:top w:w="15" w:type="dxa"/>
            <w:left w:w="15" w:type="dxa"/>
            <w:bottom w:w="15" w:type="dxa"/>
            <w:right w:w="15" w:type="dxa"/>
          </w:tblCellMar>
        </w:tblPrEx>
        <w:trPr>
          <w:trHeight w:val="567" w:hRule="atLeast"/>
          <w:jc w:val="center"/>
        </w:trPr>
        <w:tc>
          <w:tcPr>
            <w:tcW w:w="2935" w:type="dxa"/>
            <w:tcBorders>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信息内容</w:t>
            </w:r>
          </w:p>
        </w:tc>
        <w:tc>
          <w:tcPr>
            <w:tcW w:w="5889" w:type="dxa"/>
            <w:gridSpan w:val="3"/>
            <w:tcBorders>
              <w:top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rPr>
              <w:t>本年收费金额（单位：万元）</w:t>
            </w:r>
          </w:p>
        </w:tc>
      </w:tr>
      <w:tr>
        <w:tblPrEx>
          <w:tblCellMar>
            <w:top w:w="15" w:type="dxa"/>
            <w:left w:w="15" w:type="dxa"/>
            <w:bottom w:w="15" w:type="dxa"/>
            <w:right w:w="15" w:type="dxa"/>
          </w:tblCellMar>
        </w:tblPrEx>
        <w:trPr>
          <w:trHeight w:val="567" w:hRule="atLeast"/>
          <w:jc w:val="center"/>
        </w:trPr>
        <w:tc>
          <w:tcPr>
            <w:tcW w:w="2935" w:type="dxa"/>
            <w:tcBorders>
              <w:top w:val="single" w:color="000000" w:sz="8" w:space="0"/>
              <w:left w:val="single" w:color="000000" w:sz="8" w:space="0"/>
              <w:bottom w:val="single" w:color="000000" w:sz="8" w:space="0"/>
              <w:right w:val="single" w:color="000000" w:sz="8" w:space="0"/>
            </w:tcBorders>
            <w:noWrap w:val="0"/>
            <w:tcMar>
              <w:top w:w="60" w:type="dxa"/>
              <w:left w:w="10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ascii="Times New Roman" w:hAnsi="Times New Roman"/>
                <w:color w:val="000000"/>
              </w:rPr>
              <w:t>行政事业性收费</w:t>
            </w:r>
          </w:p>
        </w:tc>
        <w:tc>
          <w:tcPr>
            <w:tcW w:w="5889" w:type="dxa"/>
            <w:gridSpan w:val="3"/>
            <w:tcBorders>
              <w:top w:val="single" w:color="000000" w:sz="8" w:space="0"/>
              <w:left w:val="single" w:color="000000" w:sz="8" w:space="0"/>
              <w:bottom w:val="single" w:color="000000" w:sz="8" w:space="0"/>
              <w:right w:val="single" w:color="000000" w:sz="8" w:space="0"/>
            </w:tcBorders>
            <w:noWrap w:val="0"/>
            <w:tcMar>
              <w:top w:w="60" w:type="dxa"/>
              <w:left w:w="120" w:type="dxa"/>
              <w:bottom w:w="60" w:type="dxa"/>
              <w:right w:w="100" w:type="dxa"/>
            </w:tcMar>
            <w:vAlign w:val="center"/>
          </w:tcPr>
          <w:p>
            <w:pPr>
              <w:pStyle w:val="5"/>
              <w:widowControl/>
              <w:adjustRightInd w:val="0"/>
              <w:snapToGrid w:val="0"/>
              <w:spacing w:beforeAutospacing="0" w:afterAutospacing="0"/>
              <w:jc w:val="center"/>
              <w:rPr>
                <w:rFonts w:ascii="Times New Roman" w:hAnsi="Times New Roman"/>
              </w:rPr>
            </w:pPr>
            <w:r>
              <w:rPr>
                <w:rFonts w:hint="eastAsia" w:ascii="Times New Roman" w:hAnsi="Times New Roman"/>
              </w:rPr>
              <w:t>0</w:t>
            </w:r>
          </w:p>
        </w:tc>
      </w:tr>
    </w:tbl>
    <w:p>
      <w:pPr>
        <w:pStyle w:val="5"/>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方正小标宋简体"/>
          <w:sz w:val="44"/>
          <w:szCs w:val="44"/>
        </w:rPr>
      </w:pPr>
      <w:r>
        <w:rPr>
          <w:rFonts w:ascii="Times New Roman" w:hAnsi="Times New Roman" w:eastAsia="黑体"/>
          <w:color w:val="000000"/>
          <w:sz w:val="32"/>
          <w:szCs w:val="32"/>
          <w:shd w:val="clear" w:color="auto" w:fill="FFFFFF"/>
        </w:rPr>
        <w:t>三、收到和处理政府信息公开申请情况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5"/>
        <w:gridCol w:w="1418"/>
        <w:gridCol w:w="2676"/>
        <w:gridCol w:w="1009"/>
        <w:gridCol w:w="567"/>
        <w:gridCol w:w="567"/>
        <w:gridCol w:w="567"/>
        <w:gridCol w:w="567"/>
        <w:gridCol w:w="383"/>
        <w:gridCol w:w="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13" w:hRule="atLeast"/>
          <w:jc w:val="center"/>
        </w:trPr>
        <w:tc>
          <w:tcPr>
            <w:tcW w:w="4619" w:type="dxa"/>
            <w:gridSpan w:val="3"/>
            <w:vMerge w:val="restart"/>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（本列数据的勾稽关系为：第一项加第二项之和，等于第三项加第四项之和）</w:t>
            </w:r>
          </w:p>
        </w:tc>
        <w:tc>
          <w:tcPr>
            <w:tcW w:w="4452" w:type="dxa"/>
            <w:gridSpan w:val="7"/>
            <w:noWrap w:val="0"/>
            <w:tcMar>
              <w:left w:w="108" w:type="dxa"/>
              <w:right w:w="108" w:type="dxa"/>
            </w:tcMar>
            <w:vAlign w:val="center"/>
          </w:tcPr>
          <w:p>
            <w:pPr>
              <w:widowControl/>
              <w:spacing w:line="320" w:lineRule="exact"/>
              <w:jc w:val="center"/>
              <w:rPr>
                <w:rFonts w:hint="eastAsia" w:ascii="黑体" w:hAnsi="黑体" w:eastAsia="黑体" w:cs="黑体"/>
                <w:sz w:val="24"/>
              </w:rPr>
            </w:pPr>
            <w:r>
              <w:rPr>
                <w:rFonts w:hint="eastAsia" w:ascii="黑体" w:hAnsi="黑体" w:eastAsia="黑体" w:cs="黑体"/>
                <w:kern w:val="0"/>
                <w:sz w:val="24"/>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25" w:hRule="atLeast"/>
          <w:jc w:val="center"/>
        </w:trPr>
        <w:tc>
          <w:tcPr>
            <w:tcW w:w="4619" w:type="dxa"/>
            <w:gridSpan w:val="3"/>
            <w:vMerge w:val="continue"/>
            <w:noWrap w:val="0"/>
            <w:tcMar>
              <w:left w:w="108" w:type="dxa"/>
              <w:right w:w="108" w:type="dxa"/>
            </w:tcMar>
            <w:vAlign w:val="center"/>
          </w:tcPr>
          <w:p>
            <w:pPr>
              <w:jc w:val="center"/>
              <w:rPr>
                <w:rFonts w:hint="eastAsia" w:ascii="黑体" w:hAnsi="黑体" w:eastAsia="黑体" w:cs="黑体"/>
                <w:sz w:val="24"/>
              </w:rPr>
            </w:pPr>
          </w:p>
        </w:tc>
        <w:tc>
          <w:tcPr>
            <w:tcW w:w="1009" w:type="dxa"/>
            <w:vMerge w:val="restart"/>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自然人</w:t>
            </w:r>
          </w:p>
        </w:tc>
        <w:tc>
          <w:tcPr>
            <w:tcW w:w="2651" w:type="dxa"/>
            <w:gridSpan w:val="5"/>
            <w:noWrap w:val="0"/>
            <w:tcMar>
              <w:left w:w="108" w:type="dxa"/>
              <w:right w:w="108" w:type="dxa"/>
            </w:tcMar>
            <w:vAlign w:val="center"/>
          </w:tcPr>
          <w:p>
            <w:pPr>
              <w:widowControl/>
              <w:spacing w:line="320" w:lineRule="exact"/>
              <w:jc w:val="center"/>
              <w:rPr>
                <w:rFonts w:hint="eastAsia" w:ascii="黑体" w:hAnsi="黑体" w:eastAsia="黑体" w:cs="黑体"/>
                <w:sz w:val="24"/>
              </w:rPr>
            </w:pPr>
            <w:r>
              <w:rPr>
                <w:rFonts w:hint="eastAsia" w:ascii="黑体" w:hAnsi="黑体" w:eastAsia="黑体" w:cs="黑体"/>
                <w:kern w:val="0"/>
                <w:sz w:val="24"/>
              </w:rPr>
              <w:t>法人或其他组织</w:t>
            </w:r>
          </w:p>
        </w:tc>
        <w:tc>
          <w:tcPr>
            <w:tcW w:w="792" w:type="dxa"/>
            <w:vMerge w:val="restart"/>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097" w:hRule="atLeast"/>
          <w:jc w:val="center"/>
        </w:trPr>
        <w:tc>
          <w:tcPr>
            <w:tcW w:w="4619" w:type="dxa"/>
            <w:gridSpan w:val="3"/>
            <w:vMerge w:val="continue"/>
            <w:noWrap w:val="0"/>
            <w:tcMar>
              <w:left w:w="108" w:type="dxa"/>
              <w:right w:w="108" w:type="dxa"/>
            </w:tcMar>
            <w:vAlign w:val="center"/>
          </w:tcPr>
          <w:p>
            <w:pPr>
              <w:jc w:val="center"/>
              <w:rPr>
                <w:rFonts w:hint="eastAsia" w:ascii="黑体" w:hAnsi="黑体" w:eastAsia="黑体" w:cs="黑体"/>
                <w:sz w:val="24"/>
              </w:rPr>
            </w:pPr>
          </w:p>
        </w:tc>
        <w:tc>
          <w:tcPr>
            <w:tcW w:w="1009" w:type="dxa"/>
            <w:vMerge w:val="continue"/>
            <w:noWrap w:val="0"/>
            <w:tcMar>
              <w:left w:w="108" w:type="dxa"/>
              <w:right w:w="108" w:type="dxa"/>
            </w:tcMar>
            <w:vAlign w:val="center"/>
          </w:tcPr>
          <w:p>
            <w:pPr>
              <w:jc w:val="center"/>
              <w:rPr>
                <w:rFonts w:hint="eastAsia" w:ascii="黑体" w:hAnsi="黑体" w:eastAsia="黑体" w:cs="黑体"/>
                <w:sz w:val="24"/>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hint="eastAsia" w:ascii="黑体" w:hAnsi="黑体" w:eastAsia="黑体" w:cs="黑体"/>
                <w:sz w:val="24"/>
              </w:rPr>
            </w:pPr>
            <w:r>
              <w:rPr>
                <w:rFonts w:hint="eastAsia" w:ascii="黑体" w:hAnsi="黑体" w:eastAsia="黑体" w:cs="黑体"/>
                <w:kern w:val="0"/>
                <w:sz w:val="24"/>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hint="eastAsia" w:ascii="黑体" w:hAnsi="黑体" w:eastAsia="黑体" w:cs="黑体"/>
                <w:sz w:val="24"/>
              </w:rPr>
            </w:pPr>
            <w:r>
              <w:rPr>
                <w:rFonts w:hint="eastAsia" w:ascii="黑体" w:hAnsi="黑体" w:eastAsia="黑体" w:cs="黑体"/>
                <w:kern w:val="0"/>
                <w:sz w:val="24"/>
              </w:rPr>
              <w:t>科研机构</w:t>
            </w:r>
          </w:p>
        </w:tc>
        <w:tc>
          <w:tcPr>
            <w:tcW w:w="567" w:type="dxa"/>
            <w:noWrap w:val="0"/>
            <w:tcMar>
              <w:left w:w="108" w:type="dxa"/>
              <w:right w:w="108" w:type="dxa"/>
            </w:tcMar>
            <w:vAlign w:val="center"/>
          </w:tcPr>
          <w:p>
            <w:pPr>
              <w:widowControl/>
              <w:spacing w:line="320" w:lineRule="exact"/>
              <w:ind w:left="-107" w:leftChars="-51" w:right="-107" w:rightChars="-51"/>
              <w:jc w:val="center"/>
              <w:rPr>
                <w:rFonts w:hint="eastAsia" w:ascii="黑体" w:hAnsi="黑体" w:eastAsia="黑体" w:cs="黑体"/>
                <w:sz w:val="24"/>
              </w:rPr>
            </w:pPr>
            <w:r>
              <w:rPr>
                <w:rFonts w:hint="eastAsia" w:ascii="黑体" w:hAnsi="黑体" w:eastAsia="黑体" w:cs="黑体"/>
                <w:kern w:val="0"/>
                <w:sz w:val="24"/>
              </w:rPr>
              <w:t>社会公益组织</w:t>
            </w: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hint="eastAsia" w:ascii="黑体" w:hAnsi="黑体" w:eastAsia="黑体" w:cs="黑体"/>
                <w:sz w:val="24"/>
              </w:rPr>
            </w:pPr>
            <w:r>
              <w:rPr>
                <w:rFonts w:hint="eastAsia" w:ascii="黑体" w:hAnsi="黑体" w:eastAsia="黑体" w:cs="黑体"/>
                <w:kern w:val="0"/>
                <w:sz w:val="24"/>
              </w:rPr>
              <w:t>法律服务机构</w:t>
            </w:r>
          </w:p>
        </w:tc>
        <w:tc>
          <w:tcPr>
            <w:tcW w:w="383" w:type="dxa"/>
            <w:noWrap w:val="0"/>
            <w:tcMar>
              <w:left w:w="108" w:type="dxa"/>
              <w:right w:w="108" w:type="dxa"/>
            </w:tcMar>
            <w:vAlign w:val="center"/>
          </w:tcPr>
          <w:p>
            <w:pPr>
              <w:widowControl/>
              <w:spacing w:line="360" w:lineRule="exact"/>
              <w:ind w:left="-63" w:leftChars="-30" w:right="-134" w:rightChars="-64"/>
              <w:jc w:val="center"/>
              <w:rPr>
                <w:rFonts w:hint="eastAsia" w:ascii="黑体" w:hAnsi="黑体" w:eastAsia="黑体" w:cs="黑体"/>
                <w:sz w:val="24"/>
              </w:rPr>
            </w:pPr>
            <w:r>
              <w:rPr>
                <w:rFonts w:hint="eastAsia" w:ascii="黑体" w:hAnsi="黑体" w:eastAsia="黑体" w:cs="黑体"/>
                <w:kern w:val="0"/>
                <w:sz w:val="24"/>
              </w:rPr>
              <w:t>其他</w:t>
            </w:r>
          </w:p>
        </w:tc>
        <w:tc>
          <w:tcPr>
            <w:tcW w:w="792" w:type="dxa"/>
            <w:vMerge w:val="continue"/>
            <w:noWrap w:val="0"/>
            <w:tcMar>
              <w:left w:w="108" w:type="dxa"/>
              <w:right w:w="108" w:type="dxa"/>
            </w:tcMar>
            <w:vAlign w:val="center"/>
          </w:tcPr>
          <w:p>
            <w:pPr>
              <w:jc w:val="center"/>
              <w:rPr>
                <w:rFonts w:hint="eastAsia" w:ascii="黑体" w:hAnsi="黑体" w:eastAsia="黑体" w:cs="黑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4619" w:type="dxa"/>
            <w:gridSpan w:val="3"/>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一、本年新收政府信息公开申请数量</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16" w:hRule="atLeast"/>
          <w:jc w:val="center"/>
        </w:trPr>
        <w:tc>
          <w:tcPr>
            <w:tcW w:w="4619" w:type="dxa"/>
            <w:gridSpan w:val="3"/>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二、上年结转政府信息公开申请数量</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525" w:type="dxa"/>
            <w:vMerge w:val="restart"/>
            <w:noWrap w:val="0"/>
            <w:tcMar>
              <w:left w:w="108" w:type="dxa"/>
              <w:right w:w="108" w:type="dxa"/>
            </w:tcMar>
            <w:vAlign w:val="center"/>
          </w:tcPr>
          <w:p>
            <w:pPr>
              <w:widowControl/>
              <w:spacing w:after="180"/>
              <w:rPr>
                <w:rFonts w:hint="eastAsia" w:ascii="黑体" w:hAnsi="黑体" w:eastAsia="黑体" w:cs="黑体"/>
                <w:sz w:val="24"/>
              </w:rPr>
            </w:pPr>
            <w:r>
              <w:rPr>
                <w:rFonts w:hint="eastAsia" w:ascii="黑体" w:hAnsi="黑体" w:eastAsia="黑体" w:cs="黑体"/>
                <w:kern w:val="0"/>
                <w:sz w:val="24"/>
              </w:rPr>
              <w:t>三、本年度办理结果</w:t>
            </w:r>
          </w:p>
        </w:tc>
        <w:tc>
          <w:tcPr>
            <w:tcW w:w="4094" w:type="dxa"/>
            <w:gridSpan w:val="2"/>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（一）予以公开</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4094" w:type="dxa"/>
            <w:gridSpan w:val="2"/>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（二）部分公开（区分处理的，只计这一情形，不计其他情形）</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50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restart"/>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（三）不予公开</w:t>
            </w:r>
          </w:p>
        </w:tc>
        <w:tc>
          <w:tcPr>
            <w:tcW w:w="2676" w:type="dxa"/>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1.属于国家秘密</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557"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2.其他法律行政法规禁</w:t>
            </w:r>
          </w:p>
          <w:p>
            <w:pPr>
              <w:widowControl/>
              <w:rPr>
                <w:rFonts w:hint="eastAsia" w:ascii="黑体" w:hAnsi="黑体" w:eastAsia="黑体" w:cs="黑体"/>
                <w:kern w:val="0"/>
                <w:sz w:val="24"/>
              </w:rPr>
            </w:pPr>
            <w:r>
              <w:rPr>
                <w:rFonts w:hint="eastAsia" w:ascii="黑体" w:hAnsi="黑体" w:eastAsia="黑体" w:cs="黑体"/>
                <w:kern w:val="0"/>
                <w:sz w:val="24"/>
              </w:rPr>
              <w:t>止公开</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578"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3.危及“三安全一稳定”</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4.保护第三方合法权益</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66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5.属于三类内部事务信</w:t>
            </w:r>
          </w:p>
          <w:p>
            <w:pPr>
              <w:widowControl/>
              <w:rPr>
                <w:rFonts w:hint="eastAsia" w:ascii="黑体" w:hAnsi="黑体" w:eastAsia="黑体" w:cs="黑体"/>
                <w:kern w:val="0"/>
                <w:sz w:val="24"/>
              </w:rPr>
            </w:pPr>
            <w:r>
              <w:rPr>
                <w:rFonts w:hint="eastAsia" w:ascii="黑体" w:hAnsi="黑体" w:eastAsia="黑体" w:cs="黑体"/>
                <w:kern w:val="0"/>
                <w:sz w:val="24"/>
              </w:rPr>
              <w:t>息</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6.属于四类过程性信息</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7.属于行政执法案卷</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8.属于行政查询事项</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6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restart"/>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（四）无法提供</w:t>
            </w: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1.本机关不掌握相关政</w:t>
            </w:r>
          </w:p>
          <w:p>
            <w:pPr>
              <w:widowControl/>
              <w:rPr>
                <w:rFonts w:hint="eastAsia" w:ascii="黑体" w:hAnsi="黑体" w:eastAsia="黑体" w:cs="黑体"/>
                <w:kern w:val="0"/>
                <w:sz w:val="24"/>
              </w:rPr>
            </w:pPr>
            <w:r>
              <w:rPr>
                <w:rFonts w:hint="eastAsia" w:ascii="黑体" w:hAnsi="黑体" w:eastAsia="黑体" w:cs="黑体"/>
                <w:kern w:val="0"/>
                <w:sz w:val="24"/>
              </w:rPr>
              <w:t>府信息</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0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2.没有现成信息需要另</w:t>
            </w:r>
          </w:p>
          <w:p>
            <w:pPr>
              <w:widowControl/>
              <w:rPr>
                <w:rFonts w:hint="eastAsia" w:ascii="黑体" w:hAnsi="黑体" w:eastAsia="黑体" w:cs="黑体"/>
                <w:kern w:val="0"/>
                <w:sz w:val="24"/>
              </w:rPr>
            </w:pPr>
            <w:r>
              <w:rPr>
                <w:rFonts w:hint="eastAsia" w:ascii="黑体" w:hAnsi="黑体" w:eastAsia="黑体" w:cs="黑体"/>
                <w:kern w:val="0"/>
                <w:sz w:val="24"/>
              </w:rPr>
              <w:t>行制作</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3.补正后申请内容仍不</w:t>
            </w:r>
          </w:p>
          <w:p>
            <w:pPr>
              <w:widowControl/>
              <w:rPr>
                <w:rFonts w:hint="eastAsia" w:ascii="黑体" w:hAnsi="黑体" w:eastAsia="黑体" w:cs="黑体"/>
                <w:kern w:val="0"/>
                <w:sz w:val="24"/>
              </w:rPr>
            </w:pPr>
            <w:r>
              <w:rPr>
                <w:rFonts w:hint="eastAsia" w:ascii="黑体" w:hAnsi="黑体" w:eastAsia="黑体" w:cs="黑体"/>
                <w:kern w:val="0"/>
                <w:sz w:val="24"/>
              </w:rPr>
              <w:t>明确</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restart"/>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（五）不予处理</w:t>
            </w: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1.信访举报投诉类申请</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2.重复申请</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4"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rPr>
                <w:rFonts w:hint="eastAsia" w:ascii="黑体" w:hAnsi="黑体" w:eastAsia="黑体" w:cs="黑体"/>
                <w:kern w:val="0"/>
                <w:sz w:val="24"/>
              </w:rPr>
            </w:pPr>
            <w:r>
              <w:rPr>
                <w:rFonts w:hint="eastAsia" w:ascii="黑体" w:hAnsi="黑体" w:eastAsia="黑体" w:cs="黑体"/>
                <w:kern w:val="0"/>
                <w:sz w:val="24"/>
              </w:rPr>
              <w:t>3.要求提供公开出版物</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397"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4.无正当理由大量反复申请</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65" w:hRule="atLeas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5.要求行政机关确认或</w:t>
            </w:r>
          </w:p>
          <w:p>
            <w:pPr>
              <w:widowControl/>
              <w:rPr>
                <w:rFonts w:hint="eastAsia" w:ascii="黑体" w:hAnsi="黑体" w:eastAsia="黑体" w:cs="黑体"/>
                <w:kern w:val="0"/>
                <w:sz w:val="24"/>
              </w:rPr>
            </w:pPr>
            <w:r>
              <w:rPr>
                <w:rFonts w:hint="eastAsia" w:ascii="黑体" w:hAnsi="黑体" w:eastAsia="黑体" w:cs="黑体"/>
                <w:kern w:val="0"/>
                <w:sz w:val="24"/>
              </w:rPr>
              <w:t>重新出具已获取信息</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04" w:hRule="atLeas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restart"/>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（六）其他处理</w:t>
            </w:r>
          </w:p>
        </w:tc>
        <w:tc>
          <w:tcPr>
            <w:tcW w:w="2676" w:type="dxa"/>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1.申请人无正当理由逾期不补正、行政机关不再处理其政府信息公开申请</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580"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2.申请人逾期未接收费通知要求缴纳费用、行政机</w:t>
            </w:r>
          </w:p>
          <w:p>
            <w:pPr>
              <w:widowControl/>
              <w:rPr>
                <w:rFonts w:hint="eastAsia" w:ascii="黑体" w:hAnsi="黑体" w:eastAsia="黑体" w:cs="黑体"/>
                <w:kern w:val="0"/>
                <w:sz w:val="24"/>
              </w:rPr>
            </w:pPr>
            <w:r>
              <w:rPr>
                <w:rFonts w:hint="eastAsia" w:ascii="黑体" w:hAnsi="黑体" w:eastAsia="黑体" w:cs="黑体"/>
                <w:kern w:val="0"/>
                <w:sz w:val="24"/>
              </w:rPr>
              <w:t>关不再处理其政府信息公开申请</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25"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1418" w:type="dxa"/>
            <w:vMerge w:val="continue"/>
            <w:noWrap w:val="0"/>
            <w:tcMar>
              <w:left w:w="108" w:type="dxa"/>
              <w:right w:w="108" w:type="dxa"/>
            </w:tcMar>
            <w:vAlign w:val="center"/>
          </w:tcPr>
          <w:p>
            <w:pPr>
              <w:widowControl/>
              <w:jc w:val="center"/>
              <w:rPr>
                <w:rFonts w:hint="eastAsia" w:ascii="黑体" w:hAnsi="黑体" w:eastAsia="黑体" w:cs="黑体"/>
                <w:kern w:val="0"/>
                <w:sz w:val="24"/>
              </w:rPr>
            </w:pPr>
          </w:p>
        </w:tc>
        <w:tc>
          <w:tcPr>
            <w:tcW w:w="2676" w:type="dxa"/>
            <w:noWrap w:val="0"/>
            <w:vAlign w:val="center"/>
          </w:tcPr>
          <w:p>
            <w:pPr>
              <w:widowControl/>
              <w:rPr>
                <w:rFonts w:hint="eastAsia" w:ascii="黑体" w:hAnsi="黑体" w:eastAsia="黑体" w:cs="黑体"/>
                <w:kern w:val="0"/>
                <w:sz w:val="24"/>
              </w:rPr>
            </w:pPr>
            <w:r>
              <w:rPr>
                <w:rFonts w:hint="eastAsia" w:ascii="黑体" w:hAnsi="黑体" w:eastAsia="黑体" w:cs="黑体"/>
                <w:kern w:val="0"/>
                <w:sz w:val="24"/>
              </w:rPr>
              <w:t>3.其他</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397" w:hRule="exact"/>
          <w:jc w:val="center"/>
        </w:trPr>
        <w:tc>
          <w:tcPr>
            <w:tcW w:w="525" w:type="dxa"/>
            <w:vMerge w:val="continue"/>
            <w:noWrap w:val="0"/>
            <w:tcMar>
              <w:left w:w="108" w:type="dxa"/>
              <w:right w:w="108" w:type="dxa"/>
            </w:tcMar>
            <w:vAlign w:val="center"/>
          </w:tcPr>
          <w:p>
            <w:pPr>
              <w:rPr>
                <w:rFonts w:hint="eastAsia" w:ascii="黑体" w:hAnsi="黑体" w:eastAsia="黑体" w:cs="黑体"/>
                <w:sz w:val="24"/>
              </w:rPr>
            </w:pPr>
          </w:p>
        </w:tc>
        <w:tc>
          <w:tcPr>
            <w:tcW w:w="4094" w:type="dxa"/>
            <w:gridSpan w:val="2"/>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（七）总计</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4619" w:type="dxa"/>
            <w:gridSpan w:val="3"/>
            <w:noWrap w:val="0"/>
            <w:tcMar>
              <w:left w:w="108"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四、结转下年度继续办理</w:t>
            </w:r>
          </w:p>
        </w:tc>
        <w:tc>
          <w:tcPr>
            <w:tcW w:w="1009"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567"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383"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c>
          <w:tcPr>
            <w:tcW w:w="792" w:type="dxa"/>
            <w:noWrap w:val="0"/>
            <w:tcMar>
              <w:left w:w="108" w:type="dxa"/>
              <w:right w:w="108" w:type="dxa"/>
            </w:tcMar>
            <w:vAlign w:val="center"/>
          </w:tcPr>
          <w:p>
            <w:pPr>
              <w:jc w:val="center"/>
              <w:rPr>
                <w:rFonts w:hint="eastAsia" w:ascii="黑体" w:hAnsi="黑体" w:eastAsia="黑体" w:cs="黑体"/>
                <w:sz w:val="24"/>
              </w:rPr>
            </w:pPr>
            <w:r>
              <w:rPr>
                <w:rFonts w:hint="eastAsia" w:ascii="黑体" w:hAnsi="黑体" w:eastAsia="黑体" w:cs="黑体"/>
                <w:sz w:val="24"/>
              </w:rPr>
              <w:t>0</w:t>
            </w:r>
          </w:p>
        </w:tc>
      </w:tr>
    </w:tbl>
    <w:p>
      <w:pPr>
        <w:pStyle w:val="5"/>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方正小标宋简体"/>
          <w:sz w:val="44"/>
          <w:szCs w:val="44"/>
        </w:rPr>
      </w:pPr>
      <w:r>
        <w:rPr>
          <w:rFonts w:hint="eastAsia" w:ascii="Times New Roman" w:hAnsi="Times New Roman" w:eastAsia="黑体"/>
          <w:color w:val="000000"/>
          <w:sz w:val="32"/>
          <w:szCs w:val="32"/>
          <w:shd w:val="clear" w:color="auto" w:fill="FFFFFF"/>
        </w:rPr>
        <w:t>四、</w:t>
      </w:r>
      <w:r>
        <w:rPr>
          <w:rFonts w:ascii="Times New Roman" w:hAnsi="Times New Roman" w:eastAsia="黑体"/>
          <w:color w:val="000000"/>
          <w:sz w:val="32"/>
          <w:szCs w:val="32"/>
          <w:shd w:val="clear" w:color="auto" w:fill="FFFFFF"/>
        </w:rPr>
        <w:t>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eastAsia" w:ascii="黑体" w:hAnsi="黑体" w:eastAsia="黑体" w:cs="黑体"/>
                <w:kern w:val="0"/>
                <w:sz w:val="24"/>
              </w:rPr>
            </w:pPr>
            <w:r>
              <w:rPr>
                <w:rFonts w:hint="eastAsia" w:ascii="黑体" w:hAnsi="黑体" w:eastAsia="黑体" w:cs="黑体"/>
                <w:kern w:val="0"/>
                <w:sz w:val="24"/>
              </w:rPr>
              <w:t>结果</w:t>
            </w:r>
          </w:p>
          <w:p>
            <w:pPr>
              <w:widowControl/>
              <w:ind w:left="-149" w:leftChars="-71" w:right="-170" w:rightChars="-81"/>
              <w:jc w:val="center"/>
              <w:rPr>
                <w:rFonts w:hint="eastAsia" w:ascii="黑体" w:hAnsi="黑体" w:eastAsia="黑体" w:cs="黑体"/>
                <w:sz w:val="24"/>
              </w:rPr>
            </w:pPr>
            <w:r>
              <w:rPr>
                <w:rFonts w:hint="eastAsia" w:ascii="黑体" w:hAnsi="黑体" w:eastAsia="黑体" w:cs="黑体"/>
                <w:kern w:val="0"/>
                <w:sz w:val="24"/>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eastAsia" w:ascii="黑体" w:hAnsi="黑体" w:eastAsia="黑体" w:cs="黑体"/>
                <w:sz w:val="24"/>
              </w:rPr>
            </w:pPr>
            <w:r>
              <w:rPr>
                <w:rFonts w:hint="eastAsia" w:ascii="黑体" w:hAnsi="黑体" w:eastAsia="黑体" w:cs="黑体"/>
                <w:kern w:val="0"/>
                <w:sz w:val="24"/>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eastAsia" w:ascii="黑体" w:hAnsi="黑体" w:eastAsia="黑体" w:cs="黑体"/>
                <w:sz w:val="24"/>
              </w:rPr>
            </w:pPr>
            <w:r>
              <w:rPr>
                <w:rFonts w:hint="eastAsia" w:ascii="黑体" w:hAnsi="黑体" w:eastAsia="黑体" w:cs="黑体"/>
                <w:kern w:val="0"/>
                <w:sz w:val="24"/>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黑体" w:hAnsi="黑体" w:eastAsia="黑体" w:cs="黑体"/>
                <w:kern w:val="0"/>
                <w:sz w:val="24"/>
              </w:rPr>
            </w:pPr>
            <w:r>
              <w:rPr>
                <w:rFonts w:hint="eastAsia" w:ascii="黑体" w:hAnsi="黑体" w:eastAsia="黑体" w:cs="黑体"/>
                <w:kern w:val="0"/>
                <w:sz w:val="24"/>
              </w:rPr>
              <w:t>尚未</w:t>
            </w:r>
          </w:p>
          <w:p>
            <w:pPr>
              <w:widowControl/>
              <w:ind w:left="-118" w:leftChars="-56" w:right="-118" w:rightChars="-56"/>
              <w:jc w:val="center"/>
              <w:rPr>
                <w:rFonts w:hint="eastAsia" w:ascii="黑体" w:hAnsi="黑体" w:eastAsia="黑体" w:cs="黑体"/>
                <w:sz w:val="24"/>
              </w:rPr>
            </w:pPr>
            <w:r>
              <w:rPr>
                <w:rFonts w:hint="eastAsia" w:ascii="黑体" w:hAnsi="黑体" w:eastAsia="黑体" w:cs="黑体"/>
                <w:kern w:val="0"/>
                <w:sz w:val="24"/>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总</w:t>
            </w:r>
          </w:p>
          <w:p>
            <w:pPr>
              <w:widowControl/>
              <w:spacing w:line="320" w:lineRule="exact"/>
              <w:jc w:val="center"/>
              <w:rPr>
                <w:rFonts w:hint="eastAsia" w:ascii="黑体" w:hAnsi="黑体" w:eastAsia="黑体" w:cs="黑体"/>
                <w:sz w:val="24"/>
              </w:rPr>
            </w:pPr>
            <w:r>
              <w:rPr>
                <w:rFonts w:hint="eastAsia" w:ascii="黑体" w:hAnsi="黑体" w:eastAsia="黑体" w:cs="黑体"/>
                <w:kern w:val="0"/>
                <w:sz w:val="24"/>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eastAsia" w:ascii="黑体" w:hAnsi="黑体" w:eastAsia="黑体" w:cs="黑体"/>
                <w:sz w:val="24"/>
              </w:rPr>
            </w:pPr>
            <w:r>
              <w:rPr>
                <w:rFonts w:hint="eastAsia" w:ascii="黑体" w:hAnsi="黑体" w:eastAsia="黑体" w:cs="黑体"/>
                <w:kern w:val="0"/>
                <w:sz w:val="24"/>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eastAsia" w:ascii="黑体" w:hAnsi="黑体" w:eastAsia="黑体" w:cs="黑体"/>
                <w:sz w:val="24"/>
              </w:rPr>
            </w:pPr>
            <w:r>
              <w:rPr>
                <w:rFonts w:hint="eastAsia" w:ascii="黑体" w:hAnsi="黑体" w:eastAsia="黑体" w:cs="黑体"/>
                <w:kern w:val="0"/>
                <w:sz w:val="24"/>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eastAsia" w:ascii="黑体" w:hAnsi="黑体" w:eastAsia="黑体" w:cs="黑体"/>
                <w:kern w:val="0"/>
                <w:sz w:val="24"/>
              </w:rPr>
            </w:pPr>
            <w:r>
              <w:rPr>
                <w:rFonts w:hint="eastAsia" w:ascii="黑体" w:hAnsi="黑体" w:eastAsia="黑体" w:cs="黑体"/>
                <w:kern w:val="0"/>
                <w:sz w:val="24"/>
              </w:rPr>
              <w:t>其他</w:t>
            </w:r>
          </w:p>
          <w:p>
            <w:pPr>
              <w:widowControl/>
              <w:ind w:left="-126" w:leftChars="-60" w:right="-136" w:rightChars="-65"/>
              <w:jc w:val="center"/>
              <w:rPr>
                <w:rFonts w:hint="eastAsia" w:ascii="黑体" w:hAnsi="黑体" w:eastAsia="黑体" w:cs="黑体"/>
                <w:sz w:val="24"/>
              </w:rPr>
            </w:pPr>
            <w:r>
              <w:rPr>
                <w:rFonts w:hint="eastAsia" w:ascii="黑体" w:hAnsi="黑体" w:eastAsia="黑体" w:cs="黑体"/>
                <w:kern w:val="0"/>
                <w:sz w:val="24"/>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eastAsia" w:ascii="黑体" w:hAnsi="黑体" w:eastAsia="黑体" w:cs="黑体"/>
                <w:kern w:val="0"/>
                <w:sz w:val="24"/>
              </w:rPr>
            </w:pPr>
            <w:r>
              <w:rPr>
                <w:rFonts w:hint="eastAsia" w:ascii="黑体" w:hAnsi="黑体" w:eastAsia="黑体" w:cs="黑体"/>
                <w:kern w:val="0"/>
                <w:sz w:val="24"/>
              </w:rPr>
              <w:t>尚未</w:t>
            </w:r>
          </w:p>
          <w:p>
            <w:pPr>
              <w:widowControl/>
              <w:ind w:left="-164" w:leftChars="-78" w:right="-153" w:rightChars="-73"/>
              <w:jc w:val="center"/>
              <w:rPr>
                <w:rFonts w:hint="eastAsia" w:ascii="黑体" w:hAnsi="黑体" w:eastAsia="黑体" w:cs="黑体"/>
                <w:sz w:val="24"/>
              </w:rPr>
            </w:pPr>
            <w:r>
              <w:rPr>
                <w:rFonts w:hint="eastAsia" w:ascii="黑体" w:hAnsi="黑体" w:eastAsia="黑体" w:cs="黑体"/>
                <w:kern w:val="0"/>
                <w:sz w:val="24"/>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eastAsia" w:ascii="黑体" w:hAnsi="黑体" w:eastAsia="黑体" w:cs="黑体"/>
                <w:sz w:val="24"/>
              </w:rPr>
            </w:pPr>
            <w:r>
              <w:rPr>
                <w:rFonts w:hint="eastAsia" w:ascii="黑体" w:hAnsi="黑体" w:eastAsia="黑体" w:cs="黑体"/>
                <w:kern w:val="0"/>
                <w:sz w:val="24"/>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eastAsia" w:ascii="黑体" w:hAnsi="黑体" w:eastAsia="黑体" w:cs="黑体"/>
                <w:kern w:val="0"/>
                <w:sz w:val="24"/>
              </w:rPr>
            </w:pPr>
            <w:r>
              <w:rPr>
                <w:rFonts w:hint="eastAsia" w:ascii="黑体" w:hAnsi="黑体" w:eastAsia="黑体" w:cs="黑体"/>
                <w:kern w:val="0"/>
                <w:sz w:val="24"/>
              </w:rPr>
              <w:t>结果</w:t>
            </w:r>
          </w:p>
          <w:p>
            <w:pPr>
              <w:widowControl/>
              <w:ind w:left="-136" w:leftChars="-65" w:right="-124" w:rightChars="-59"/>
              <w:jc w:val="center"/>
              <w:rPr>
                <w:rFonts w:hint="eastAsia" w:ascii="黑体" w:hAnsi="黑体" w:eastAsia="黑体" w:cs="黑体"/>
                <w:sz w:val="24"/>
              </w:rPr>
            </w:pPr>
            <w:r>
              <w:rPr>
                <w:rFonts w:hint="eastAsia" w:ascii="黑体" w:hAnsi="黑体" w:eastAsia="黑体" w:cs="黑体"/>
                <w:kern w:val="0"/>
                <w:sz w:val="24"/>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eastAsia" w:ascii="黑体" w:hAnsi="黑体" w:eastAsia="黑体" w:cs="黑体"/>
                <w:kern w:val="0"/>
                <w:sz w:val="24"/>
              </w:rPr>
            </w:pPr>
            <w:r>
              <w:rPr>
                <w:rFonts w:hint="eastAsia" w:ascii="黑体" w:hAnsi="黑体" w:eastAsia="黑体" w:cs="黑体"/>
                <w:kern w:val="0"/>
                <w:sz w:val="24"/>
              </w:rPr>
              <w:t>其他</w:t>
            </w:r>
          </w:p>
          <w:p>
            <w:pPr>
              <w:widowControl/>
              <w:ind w:left="-173" w:leftChars="-83" w:right="-134" w:rightChars="-64" w:hanging="1"/>
              <w:jc w:val="center"/>
              <w:rPr>
                <w:rFonts w:hint="eastAsia" w:ascii="黑体" w:hAnsi="黑体" w:eastAsia="黑体" w:cs="黑体"/>
                <w:sz w:val="24"/>
              </w:rPr>
            </w:pPr>
            <w:r>
              <w:rPr>
                <w:rFonts w:hint="eastAsia" w:ascii="黑体" w:hAnsi="黑体" w:eastAsia="黑体" w:cs="黑体"/>
                <w:kern w:val="0"/>
                <w:sz w:val="24"/>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eastAsia" w:ascii="黑体" w:hAnsi="黑体" w:eastAsia="黑体" w:cs="黑体"/>
                <w:sz w:val="24"/>
              </w:rPr>
            </w:pPr>
            <w:r>
              <w:rPr>
                <w:rFonts w:hint="eastAsia" w:ascii="黑体" w:hAnsi="黑体" w:eastAsia="黑体" w:cs="黑体"/>
                <w:kern w:val="0"/>
                <w:sz w:val="24"/>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黑体" w:hAnsi="黑体" w:eastAsia="黑体" w:cs="黑体"/>
                <w:sz w:val="24"/>
              </w:rPr>
            </w:pPr>
            <w:r>
              <w:rPr>
                <w:rFonts w:hint="eastAsia" w:ascii="黑体" w:hAnsi="黑体" w:eastAsia="黑体" w:cs="黑体"/>
                <w:kern w:val="0"/>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cs="黑体"/>
                <w:sz w:val="24"/>
              </w:rPr>
            </w:pPr>
            <w:r>
              <w:rPr>
                <w:rFonts w:hint="eastAsia" w:ascii="黑体" w:hAnsi="黑体" w:eastAsia="黑体" w:cs="黑体"/>
                <w:sz w:val="24"/>
              </w:rPr>
              <w:t>0</w:t>
            </w:r>
          </w:p>
        </w:tc>
      </w:tr>
    </w:tbl>
    <w:p>
      <w:pPr>
        <w:widowControl/>
        <w:shd w:val="clear" w:color="auto" w:fill="FFFFFF"/>
        <w:jc w:val="center"/>
        <w:rPr>
          <w:rFonts w:ascii="宋体" w:hAnsi="宋体" w:cs="宋体"/>
          <w:sz w:val="24"/>
        </w:rPr>
      </w:pPr>
    </w:p>
    <w:p>
      <w:pPr>
        <w:pStyle w:val="5"/>
        <w:widowControl/>
        <w:shd w:val="clear" w:color="auto" w:fill="FFFFFF"/>
        <w:spacing w:beforeAutospacing="0" w:afterAutospacing="0" w:line="360" w:lineRule="auto"/>
        <w:ind w:firstLine="640" w:firstLineChars="200"/>
        <w:jc w:val="both"/>
        <w:rPr>
          <w:rFonts w:ascii="黑体" w:hAnsi="黑体" w:eastAsia="黑体" w:cs="宋体"/>
          <w:sz w:val="32"/>
          <w:szCs w:val="32"/>
        </w:rPr>
      </w:pPr>
      <w:r>
        <w:rPr>
          <w:rFonts w:hint="eastAsia" w:ascii="黑体" w:hAnsi="黑体" w:eastAsia="黑体" w:cs="宋体"/>
          <w:sz w:val="32"/>
          <w:szCs w:val="32"/>
          <w:shd w:val="clear" w:color="auto" w:fill="FFFFFF"/>
        </w:rPr>
        <w:t>五、存在的主要问题及改进情况</w:t>
      </w:r>
    </w:p>
    <w:p>
      <w:pPr>
        <w:widowControl/>
        <w:spacing w:line="36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是信息公开过程中更重视简单公开，对于群众的反馈关注较少。为此，我局召开了专项工作会议，畅通政务信息公开反馈渠道，定期通过征纳互动交流群及政务公开专项研讨会征集群众意见建议，及时回应群众需求，显著增强了信息公开的针对性及实用性。二是信息公开的广度和深度还不够，缺乏全面性、实效性等。为此，我局通过问卷调查等方式收集群众关注的热点、难点问题并进行合理分类，根据分类有针对性的进行信息公开，提高了信息公开的专业性和精准性。</w:t>
      </w:r>
    </w:p>
    <w:p>
      <w:pPr>
        <w:pStyle w:val="5"/>
        <w:widowControl/>
        <w:shd w:val="clear" w:color="auto" w:fill="FFFFFF"/>
        <w:spacing w:beforeAutospacing="0" w:afterAutospacing="0" w:line="360" w:lineRule="auto"/>
        <w:ind w:firstLine="640" w:firstLineChars="200"/>
        <w:jc w:val="both"/>
        <w:rPr>
          <w:rFonts w:ascii="黑体" w:hAnsi="黑体" w:eastAsia="黑体" w:cs="宋体"/>
          <w:sz w:val="32"/>
          <w:szCs w:val="32"/>
        </w:rPr>
      </w:pPr>
      <w:r>
        <w:rPr>
          <w:rFonts w:hint="eastAsia" w:ascii="黑体" w:hAnsi="黑体" w:eastAsia="黑体" w:cs="宋体"/>
          <w:sz w:val="32"/>
          <w:szCs w:val="32"/>
          <w:shd w:val="clear" w:color="auto" w:fill="FFFFFF"/>
        </w:rPr>
        <w:t>六、其他需要报告的事项</w:t>
      </w:r>
    </w:p>
    <w:p>
      <w:pPr>
        <w:pStyle w:val="5"/>
        <w:widowControl/>
        <w:shd w:val="clear" w:color="auto" w:fill="FFFFFF"/>
        <w:spacing w:beforeAutospacing="0" w:afterAutospacing="0" w:line="360" w:lineRule="auto"/>
        <w:ind w:firstLine="645"/>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（一）本年度政府信息公开申请未达到《政府信息公开信息处理费管理办法》（国办函〔2020〕109号）所规定的信息处理费收费标准，故未收取信息处理费。</w:t>
      </w:r>
    </w:p>
    <w:p>
      <w:pPr>
        <w:pStyle w:val="5"/>
        <w:widowControl/>
        <w:shd w:val="clear" w:color="auto" w:fill="FFFFFF"/>
        <w:spacing w:beforeAutospacing="0" w:afterAutospacing="0" w:line="360" w:lineRule="auto"/>
        <w:ind w:firstLine="645"/>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（二）全年未承办区级人大代表建议和区政协委员提案。</w:t>
      </w:r>
    </w:p>
    <w:p>
      <w:pPr>
        <w:pStyle w:val="5"/>
        <w:widowControl/>
        <w:shd w:val="clear" w:color="auto" w:fill="FFFFFF"/>
        <w:spacing w:beforeAutospacing="0" w:afterAutospacing="0" w:line="360" w:lineRule="auto"/>
        <w:ind w:firstLine="645"/>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（三）本行政机关年度政务公开工作创新情况。</w:t>
      </w:r>
    </w:p>
    <w:p>
      <w:pPr>
        <w:pStyle w:val="5"/>
        <w:widowControl/>
        <w:shd w:val="clear" w:color="auto" w:fill="FFFFFF"/>
        <w:spacing w:beforeAutospacing="0" w:afterAutospacing="0" w:line="360" w:lineRule="auto"/>
        <w:ind w:firstLine="645"/>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逐步推动政务公开电子化，充分利用政府网站加大宣传力度。</w:t>
      </w:r>
    </w:p>
    <w:p>
      <w:pPr>
        <w:pStyle w:val="5"/>
        <w:widowControl/>
        <w:shd w:val="clear" w:color="auto" w:fill="FFFFFF"/>
        <w:spacing w:beforeAutospacing="0" w:afterAutospacing="0" w:line="360" w:lineRule="auto"/>
        <w:ind w:firstLine="645"/>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（四）本行政机关政府信息公开工作年度报告数据统计需要说明的事项。</w:t>
      </w:r>
    </w:p>
    <w:p>
      <w:pPr>
        <w:pStyle w:val="5"/>
        <w:widowControl/>
        <w:shd w:val="clear" w:color="auto" w:fill="FFFFFF"/>
        <w:spacing w:beforeAutospacing="0" w:afterAutospacing="0" w:line="360" w:lineRule="auto"/>
        <w:ind w:firstLine="645"/>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本报告中所列数据的统计时限为2022年1月1日至2022年12月31日。</w:t>
      </w:r>
    </w:p>
    <w:p>
      <w:pPr>
        <w:pStyle w:val="5"/>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（五）本行政机关认为需要报告的其他事项。</w:t>
      </w:r>
    </w:p>
    <w:p>
      <w:pPr>
        <w:pStyle w:val="5"/>
        <w:widowControl/>
        <w:shd w:val="clear" w:color="auto" w:fill="FFFFFF"/>
        <w:spacing w:beforeAutospacing="0" w:afterAutospacing="0" w:line="360" w:lineRule="auto"/>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无。</w:t>
      </w:r>
    </w:p>
    <w:p>
      <w:pPr>
        <w:pStyle w:val="5"/>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（六）其他有关文件专门要求通过政府信息公开工作年度报告予以报告的事项。</w:t>
      </w:r>
    </w:p>
    <w:p>
      <w:pPr>
        <w:pStyle w:val="5"/>
        <w:widowControl/>
        <w:shd w:val="clear" w:color="auto" w:fill="FFFFFF"/>
        <w:spacing w:beforeAutospacing="0" w:afterAutospacing="0" w:line="360" w:lineRule="auto"/>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无。</w:t>
      </w:r>
    </w:p>
    <w:p>
      <w:pPr>
        <w:pStyle w:val="5"/>
        <w:widowControl/>
        <w:shd w:val="clear" w:color="auto" w:fill="FFFFFF"/>
        <w:spacing w:beforeAutospacing="0" w:afterAutospacing="0" w:line="360" w:lineRule="auto"/>
        <w:ind w:firstLine="640" w:firstLineChars="200"/>
        <w:jc w:val="both"/>
      </w:pPr>
      <w:r>
        <w:rPr>
          <w:rFonts w:hint="eastAsia" w:ascii="仿宋_GB2312" w:hAnsi="宋体" w:eastAsia="仿宋_GB2312" w:cs="宋体"/>
          <w:sz w:val="32"/>
          <w:szCs w:val="32"/>
          <w:shd w:val="clear" w:color="auto" w:fill="FFFFFF"/>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F4DBD"/>
    <w:multiLevelType w:val="singleLevel"/>
    <w:tmpl w:val="D6CF4D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86E"/>
    <w:rsid w:val="00056647"/>
    <w:rsid w:val="000741BE"/>
    <w:rsid w:val="000A196F"/>
    <w:rsid w:val="000D21D0"/>
    <w:rsid w:val="00157C43"/>
    <w:rsid w:val="00183E54"/>
    <w:rsid w:val="00196105"/>
    <w:rsid w:val="001B60A0"/>
    <w:rsid w:val="002175D6"/>
    <w:rsid w:val="002248CB"/>
    <w:rsid w:val="0026153B"/>
    <w:rsid w:val="00301617"/>
    <w:rsid w:val="00323B43"/>
    <w:rsid w:val="00351E71"/>
    <w:rsid w:val="0035418A"/>
    <w:rsid w:val="00366C1C"/>
    <w:rsid w:val="003D0D75"/>
    <w:rsid w:val="003D37D8"/>
    <w:rsid w:val="004058D2"/>
    <w:rsid w:val="00413477"/>
    <w:rsid w:val="004358AB"/>
    <w:rsid w:val="004679F9"/>
    <w:rsid w:val="0053711A"/>
    <w:rsid w:val="005B5A4C"/>
    <w:rsid w:val="005E4E98"/>
    <w:rsid w:val="005E5213"/>
    <w:rsid w:val="005F415F"/>
    <w:rsid w:val="00665A70"/>
    <w:rsid w:val="006C705D"/>
    <w:rsid w:val="0071553E"/>
    <w:rsid w:val="00752885"/>
    <w:rsid w:val="007836D0"/>
    <w:rsid w:val="007859B3"/>
    <w:rsid w:val="007B1553"/>
    <w:rsid w:val="007B3BEA"/>
    <w:rsid w:val="007E7FF4"/>
    <w:rsid w:val="00875A44"/>
    <w:rsid w:val="008B7726"/>
    <w:rsid w:val="008D4CA8"/>
    <w:rsid w:val="00904780"/>
    <w:rsid w:val="009252F9"/>
    <w:rsid w:val="00943154"/>
    <w:rsid w:val="009A52EC"/>
    <w:rsid w:val="009E3403"/>
    <w:rsid w:val="00A10AE4"/>
    <w:rsid w:val="00AB1BB0"/>
    <w:rsid w:val="00B16DD8"/>
    <w:rsid w:val="00B248E9"/>
    <w:rsid w:val="00B24AE0"/>
    <w:rsid w:val="00C23106"/>
    <w:rsid w:val="00C27634"/>
    <w:rsid w:val="00C31342"/>
    <w:rsid w:val="00C52B8D"/>
    <w:rsid w:val="00C55F0C"/>
    <w:rsid w:val="00C87B54"/>
    <w:rsid w:val="00D4480C"/>
    <w:rsid w:val="00D708A6"/>
    <w:rsid w:val="00E92D7F"/>
    <w:rsid w:val="00EA0AC7"/>
    <w:rsid w:val="00ED019A"/>
    <w:rsid w:val="00F2483C"/>
    <w:rsid w:val="00F445E9"/>
    <w:rsid w:val="00F72F56"/>
    <w:rsid w:val="00F87734"/>
    <w:rsid w:val="00FE1BC0"/>
    <w:rsid w:val="024E2CCA"/>
    <w:rsid w:val="09CE0C28"/>
    <w:rsid w:val="0A7A7967"/>
    <w:rsid w:val="1B2B737F"/>
    <w:rsid w:val="1C117C3C"/>
    <w:rsid w:val="1D715AD5"/>
    <w:rsid w:val="22FC27EE"/>
    <w:rsid w:val="2FB61259"/>
    <w:rsid w:val="340403A0"/>
    <w:rsid w:val="35100CAA"/>
    <w:rsid w:val="3D6746DB"/>
    <w:rsid w:val="438D6C6F"/>
    <w:rsid w:val="4EB747EC"/>
    <w:rsid w:val="4EEF5BDE"/>
    <w:rsid w:val="5AE51EF2"/>
    <w:rsid w:val="61FE0F3F"/>
    <w:rsid w:val="66017E4E"/>
    <w:rsid w:val="74DA06C2"/>
    <w:rsid w:val="74E07A98"/>
    <w:rsid w:val="78535208"/>
    <w:rsid w:val="7B3D1028"/>
    <w:rsid w:val="7CD77C65"/>
    <w:rsid w:val="7F7476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uiPriority w:val="99"/>
    <w:rPr>
      <w:color w:val="0000FF"/>
      <w:u w:val="single"/>
    </w:rPr>
  </w:style>
  <w:style w:type="character" w:customStyle="1" w:styleId="9">
    <w:name w:val="页脚 Char"/>
    <w:basedOn w:val="7"/>
    <w:link w:val="3"/>
    <w:semiHidden/>
    <w:uiPriority w:val="99"/>
    <w:rPr>
      <w:rFonts w:ascii="Tahoma" w:hAnsi="Tahoma"/>
      <w:sz w:val="18"/>
      <w:szCs w:val="18"/>
    </w:rPr>
  </w:style>
  <w:style w:type="character" w:customStyle="1" w:styleId="10">
    <w:name w:val="页眉 Char"/>
    <w:basedOn w:val="7"/>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主动公开政府信息</a:t>
            </a:r>
          </a:p>
        </c:rich>
      </c:tx>
      <c:layout/>
      <c:overlay val="0"/>
      <c:spPr>
        <a:noFill/>
        <a:ln>
          <a:noFill/>
        </a:ln>
        <a:effectLst/>
      </c:spPr>
    </c:title>
    <c:autoTitleDeleted val="0"/>
    <c:plotArea>
      <c:layout/>
      <c:lineChart>
        <c:grouping val="standard"/>
        <c:varyColors val="0"/>
        <c:ser>
          <c:idx val="0"/>
          <c:order val="0"/>
          <c:tx>
            <c:strRef>
              <c:f>[工作簿1]Sheet1!$A$2</c:f>
              <c:strCache>
                <c:ptCount val="1"/>
                <c:pt idx="0">
                  <c:v>条</c:v>
                </c:pt>
              </c:strCache>
            </c:strRef>
          </c:tx>
          <c:spPr>
            <a:ln w="31750" cap="rnd" cmpd="sng" algn="ctr">
              <a:solidFill>
                <a:schemeClr val="accent1"/>
              </a:solidFill>
              <a:prstDash val="solid"/>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cap="flat" cmpd="sng" algn="ctr">
                <a:solidFill>
                  <a:schemeClr val="lt2"/>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t"/>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[工作簿1]Sheet1!$B$1:$D$1</c:f>
              <c:strCache>
                <c:ptCount val="3"/>
                <c:pt idx="0">
                  <c:v>2020年</c:v>
                </c:pt>
                <c:pt idx="1">
                  <c:v>2021年</c:v>
                </c:pt>
                <c:pt idx="2">
                  <c:v>2022年</c:v>
                </c:pt>
              </c:strCache>
            </c:strRef>
          </c:cat>
          <c:val>
            <c:numRef>
              <c:f>[工作簿1]Sheet1!$B$2:$D$2</c:f>
              <c:numCache>
                <c:formatCode>General</c:formatCode>
                <c:ptCount val="3"/>
                <c:pt idx="0">
                  <c:v>107</c:v>
                </c:pt>
                <c:pt idx="1">
                  <c:v>212</c:v>
                </c:pt>
                <c:pt idx="2">
                  <c:v>234</c:v>
                </c:pt>
              </c:numCache>
            </c:numRef>
          </c:val>
          <c:smooth val="1"/>
        </c:ser>
        <c:ser>
          <c:idx val="1"/>
          <c:order val="1"/>
          <c:tx>
            <c:strRef>
              <c:f>[工作簿1]Sheet1!$A$3</c:f>
              <c:strCache>
                <c:ptCount val="1"/>
                <c:pt idx="0">
                  <c:v/>
                </c:pt>
              </c:strCache>
            </c:strRef>
          </c:tx>
          <c:spPr>
            <a:ln w="31750" cap="rnd" cmpd="sng" algn="ctr">
              <a:solidFill>
                <a:schemeClr val="accent2"/>
              </a:solidFill>
              <a:prstDash val="solid"/>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cap="flat" cmpd="sng" algn="ctr">
                <a:solidFill>
                  <a:schemeClr val="lt2"/>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t"/>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[工作簿1]Sheet1!$B$1:$D$1</c:f>
              <c:strCache>
                <c:ptCount val="3"/>
                <c:pt idx="0">
                  <c:v>2020年</c:v>
                </c:pt>
                <c:pt idx="1">
                  <c:v>2021年</c:v>
                </c:pt>
                <c:pt idx="2">
                  <c:v>2022年</c:v>
                </c:pt>
              </c:strCache>
            </c:strRef>
          </c:cat>
          <c:val>
            <c:numRef>
              <c:f>[工作簿1]Sheet1!$B$3:$D$3</c:f>
              <c:numCache>
                <c:formatCode>General</c:formatCode>
                <c:ptCount val="3"/>
              </c:numCache>
            </c:numRef>
          </c:val>
          <c:smooth val="1"/>
        </c:ser>
        <c:ser>
          <c:idx val="2"/>
          <c:order val="2"/>
          <c:tx>
            <c:strRef>
              <c:f>[工作簿1]Sheet1!$A$4</c:f>
              <c:strCache>
                <c:ptCount val="1"/>
                <c:pt idx="0">
                  <c:v/>
                </c:pt>
              </c:strCache>
            </c:strRef>
          </c:tx>
          <c:spPr>
            <a:ln w="31750" cap="rnd" cmpd="sng" algn="ctr">
              <a:solidFill>
                <a:schemeClr val="accent3"/>
              </a:solidFill>
              <a:prstDash val="solid"/>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cap="flat" cmpd="sng" algn="ctr">
                <a:solidFill>
                  <a:schemeClr val="lt2"/>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t"/>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[工作簿1]Sheet1!$B$1:$D$1</c:f>
              <c:strCache>
                <c:ptCount val="3"/>
                <c:pt idx="0">
                  <c:v>2020年</c:v>
                </c:pt>
                <c:pt idx="1">
                  <c:v>2021年</c:v>
                </c:pt>
                <c:pt idx="2">
                  <c:v>2022年</c:v>
                </c:pt>
              </c:strCache>
            </c:strRef>
          </c:cat>
          <c:val>
            <c:numRef>
              <c:f>[工作簿1]Sheet1!$B$4:$D$4</c:f>
              <c:numCache>
                <c:formatCode>General</c:formatCode>
                <c:ptCount val="3"/>
              </c:numCache>
            </c:numRef>
          </c:val>
          <c:smooth val="1"/>
        </c:ser>
        <c:dLbls>
          <c:showLegendKey val="1"/>
          <c:showVal val="1"/>
          <c:showCatName val="1"/>
          <c:showSerName val="1"/>
          <c:showPercent val="1"/>
          <c:showBubbleSize val="1"/>
        </c:dLbls>
        <c:marker val="1"/>
        <c:smooth val="1"/>
        <c:axId val="188783232"/>
        <c:axId val="188940672"/>
      </c:lineChart>
      <c:catAx>
        <c:axId val="188783232"/>
        <c:scaling>
          <c:orientation val="minMax"/>
        </c:scaling>
        <c:delete val="0"/>
        <c:axPos val="b"/>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88940672"/>
        <c:crosses val="autoZero"/>
        <c:auto val="1"/>
        <c:lblAlgn val="ctr"/>
        <c:lblOffset val="100"/>
        <c:noMultiLvlLbl val="0"/>
      </c:catAx>
      <c:valAx>
        <c:axId val="188940672"/>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8878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434</Words>
  <Characters>2477</Characters>
  <Lines>20</Lines>
  <Paragraphs>5</Paragraphs>
  <TotalTime>0</TotalTime>
  <ScaleCrop>false</ScaleCrop>
  <LinksUpToDate>false</LinksUpToDate>
  <CharactersWithSpaces>2906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2023-02-10T01:37:00Z</dcterms:created>
  <dc:creator>Administrator</dc:creator>
  <cp:lastModifiedBy>Administrator</cp:lastModifiedBy>
  <dcterms:modified xsi:type="dcterms:W3CDTF">2023-02-16T01:02:32Z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DD88A9FA1F2843EBB36544B32508AE6E</vt:lpwstr>
  </property>
</Properties>
</file>