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Style w:val="6"/>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pPr>
      <w:r>
        <w:rPr>
          <w:rStyle w:val="6"/>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高新区党群工作部2022年度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方正小标宋简体" w:eastAsia="方正小标宋简体" w:cs="方正小标宋简体"/>
          <w:b w:val="0"/>
          <w:bCs/>
          <w:sz w:val="44"/>
          <w:szCs w:val="44"/>
        </w:rPr>
      </w:pPr>
      <w:r>
        <w:rPr>
          <w:rStyle w:val="6"/>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政府信息公开年报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宋体" w:hAnsi="宋体" w:eastAsia="宋体" w:cs="宋体"/>
          <w:b w:val="0"/>
          <w:i w:val="0"/>
          <w:caps w:val="0"/>
          <w:color w:val="000000"/>
          <w:spacing w:val="0"/>
          <w:kern w:val="0"/>
          <w:sz w:val="28"/>
          <w:szCs w:val="2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根据《中华人民共和国政府信息公开条例》、《山东省政府信息公开办法》要求，现向社会</w:t>
      </w:r>
      <w:bookmarkStart w:id="10" w:name="_GoBack"/>
      <w:bookmarkEnd w:id="10"/>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公开枣庄高新区党群工作部2022年政府信息公开工作年度报告。全文包括总体情况、主动公开政府信息情况、收到和处理政府信息公开申请情况、政府信息公开行政复议、行政诉讼情况、政府信息公开工作存在的主要问题及改进情况等。本年度报告中所列数据的统计期限自2022年1月1日起至2022年12月31日止。</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本报告全文在将枣庄高新区官方网站（http://www.zzctp.gov.cn/）“政府信息公开年度报告”专栏公布。如对本年度政府信息公开工作年度报告有疑问，请与枣庄高新区</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党群工作部</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联系（联系电话:0632-</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8693278</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，电子邮箱:gx</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zgbbgs</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@163.com）。</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黑体" w:hAnsi="黑体" w:eastAsia="黑体" w:cs="黑体"/>
          <w:b w:val="0"/>
          <w:bCs w:val="0"/>
          <w:i w:val="0"/>
          <w:caps w:val="0"/>
          <w:color w:val="000000"/>
          <w:spacing w:val="0"/>
          <w:kern w:val="0"/>
          <w:sz w:val="32"/>
          <w:szCs w:val="32"/>
          <w:shd w:val="clear" w:fill="FFFFFF"/>
          <w:lang w:val="en-US" w:eastAsia="zh-CN" w:bidi="ar"/>
        </w:rPr>
        <w:drawing>
          <wp:anchor distT="0" distB="0" distL="114300" distR="114300" simplePos="0" relativeHeight="251659264" behindDoc="0" locked="0" layoutInCell="1" allowOverlap="1">
            <wp:simplePos x="0" y="0"/>
            <wp:positionH relativeFrom="column">
              <wp:posOffset>480060</wp:posOffset>
            </wp:positionH>
            <wp:positionV relativeFrom="paragraph">
              <wp:posOffset>253365</wp:posOffset>
            </wp:positionV>
            <wp:extent cx="4608195" cy="2946400"/>
            <wp:effectExtent l="4445" t="4445" r="16510" b="209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r>
        <w:rPr>
          <w:rStyle w:val="6"/>
          <w:rFonts w:hint="eastAsia" w:ascii="黑体" w:hAnsi="黑体" w:eastAsia="黑体" w:cs="黑体"/>
          <w:b w:val="0"/>
          <w:bCs w:val="0"/>
          <w:i w:val="0"/>
          <w:caps w:val="0"/>
          <w:color w:val="000000"/>
          <w:spacing w:val="0"/>
          <w:kern w:val="0"/>
          <w:sz w:val="32"/>
          <w:szCs w:val="32"/>
          <w:shd w:val="clear" w:fill="FFFFFF"/>
          <w:lang w:val="en-US" w:eastAsia="zh-CN" w:bidi="ar"/>
        </w:rPr>
        <w:t>一、总体情况</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2022年，党群工作部认真贯彻落实《中华人民共和国政府信息公开条例》、《山东省政府信息公开办法》规定的有关通知要求，遵循依法、准确、及时、公正和便民的原则，加强组织领导，明确责任分工，细化分解任务，加大督导力度，全面推进组织建设、平台建设、制度建设，扎实做好政府信息公开工作政府信息公开工作的积极性、主动性不断提高，政府工作透明度进一步增强，有效地保障了公民的知情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Fonts w:hint="eastAsia" w:ascii="楷体_GB2312" w:hAnsi="楷体_GB2312" w:eastAsia="楷体_GB2312" w:cs="楷体_GB2312"/>
          <w:sz w:val="32"/>
          <w:szCs w:val="32"/>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（一）主动公开政府信息数</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人事信息方面，一是主动公开文件3件，网上公开了3件，</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其他信息方面，及时更新机构职能、管理和服务公开等，编制发布政府信息主动公开基本目录；主动公开信息3条。</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政府网站方面，2022年通过政府门户网站公开政府信息通知公告13条，部门信息27条，在线访谈12条。</w:t>
      </w:r>
    </w:p>
    <w:p>
      <w:pPr>
        <w:keepNext w:val="0"/>
        <w:keepLines w:val="0"/>
        <w:pageBreakBefore w:val="0"/>
        <w:kinsoku/>
        <w:overflowPunct/>
        <w:topLinePunct w:val="0"/>
        <w:autoSpaceDE/>
        <w:autoSpaceDN/>
        <w:bidi w:val="0"/>
        <w:adjustRightInd/>
        <w:snapToGrid/>
        <w:spacing w:line="560" w:lineRule="exact"/>
        <w:ind w:left="0" w:right="0" w:firstLine="42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drawing>
          <wp:anchor distT="0" distB="0" distL="114300" distR="114300" simplePos="0" relativeHeight="251660288" behindDoc="0" locked="0" layoutInCell="1" allowOverlap="1">
            <wp:simplePos x="0" y="0"/>
            <wp:positionH relativeFrom="column">
              <wp:posOffset>454660</wp:posOffset>
            </wp:positionH>
            <wp:positionV relativeFrom="paragraph">
              <wp:posOffset>868680</wp:posOffset>
            </wp:positionV>
            <wp:extent cx="4695825" cy="2307590"/>
            <wp:effectExtent l="0" t="0" r="9525" b="1651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4695825" cy="2307590"/>
                    </a:xfrm>
                    <a:prstGeom prst="rect">
                      <a:avLst/>
                    </a:prstGeom>
                    <a:noFill/>
                    <a:ln>
                      <a:noFill/>
                    </a:ln>
                  </pic:spPr>
                </pic:pic>
              </a:graphicData>
            </a:graphic>
          </wp:anchor>
        </w:drawing>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其他方式方面，2022年通过微信公众号公开各类政府信息320条。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drawing>
          <wp:anchor distT="0" distB="0" distL="114300" distR="114300" simplePos="0" relativeHeight="251661312" behindDoc="0" locked="0" layoutInCell="1" allowOverlap="1">
            <wp:simplePos x="0" y="0"/>
            <wp:positionH relativeFrom="column">
              <wp:posOffset>370840</wp:posOffset>
            </wp:positionH>
            <wp:positionV relativeFrom="paragraph">
              <wp:posOffset>1270</wp:posOffset>
            </wp:positionV>
            <wp:extent cx="4972050" cy="2401570"/>
            <wp:effectExtent l="0" t="0" r="0" b="17780"/>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4972050" cy="2401570"/>
                    </a:xfrm>
                    <a:prstGeom prst="rect">
                      <a:avLst/>
                    </a:prstGeom>
                    <a:noFill/>
                    <a:ln>
                      <a:noFill/>
                    </a:ln>
                  </pic:spPr>
                </pic:pic>
              </a:graphicData>
            </a:graphic>
          </wp:anchor>
        </w:drawing>
      </w: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（二）依申请公开办理情况</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1.收到和处理政府信息公开申请情况。</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2022年枣庄高新区党群工作部未收到依申请公开件，处理其他依申请公开0件，回复市政务公开办公室协查函0件。</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根据财政部、国家发展改革委联合印发的《关于清理规范一批行政事业性收费有关政策的通知》规定，本年度依申请公开政府信息未收取任何费用，包括检索费、复制费（含案卷材料复制费）、邮寄费。</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2.政府信息公开行政复议、行政诉讼情况。</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2022年，因政府信息公开被申请行政复议0件，因公民、法人和其他组织认为行政机关政府信息公开工作具体行政行为侵犯其合法权益，提起行政诉讼0件。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（三）政府信息管理</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按照法定时限及时发布并实时更新法定主动公开内容。明确责任，各部门分管政府信息公开工作的领导人员是第一责任人，各行政机关政府信息公开工作机构是法定责任主体，负责推进协调政府信息公开平台建设和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（四）政府信息公开平台建设</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一是信息公开专栏，在门户网站信息公开发布机构职能等信息，方便群众浏览、知晓；二是维护微信公众号等政务新媒体更新等。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（五）监督保障</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不断强化监督管理机制，积极落实政务公开责任制和目标管理制。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r>
        <w:rPr>
          <w:rStyle w:val="6"/>
          <w:rFonts w:hint="eastAsia" w:ascii="黑体" w:hAnsi="黑体" w:eastAsia="黑体" w:cs="黑体"/>
          <w:b w:val="0"/>
          <w:bCs w:val="0"/>
          <w:i w:val="0"/>
          <w:caps w:val="0"/>
          <w:color w:val="000000"/>
          <w:spacing w:val="0"/>
          <w:kern w:val="0"/>
          <w:sz w:val="32"/>
          <w:szCs w:val="32"/>
          <w:shd w:val="clear" w:fill="FFFFFF"/>
          <w:lang w:val="en-US" w:eastAsia="zh-CN" w:bidi="ar"/>
        </w:rPr>
        <w:t>二、主动公开政府信息情况</w:t>
      </w:r>
    </w:p>
    <w:tbl>
      <w:tblPr>
        <w:tblStyle w:val="4"/>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31"/>
        <w:gridCol w:w="2398"/>
        <w:gridCol w:w="1762"/>
        <w:gridCol w:w="249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信息内容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本年新制作数量</w:t>
            </w:r>
          </w:p>
        </w:tc>
        <w:tc>
          <w:tcPr>
            <w:tcW w:w="992"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本年新公开数量</w:t>
            </w:r>
          </w:p>
        </w:tc>
        <w:tc>
          <w:tcPr>
            <w:tcW w:w="140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对外公开总数量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规章</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2"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40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规范性文件</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2"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40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信息内容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上一年项目数量</w:t>
            </w:r>
          </w:p>
        </w:tc>
        <w:tc>
          <w:tcPr>
            <w:tcW w:w="992"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本年增/减</w:t>
            </w:r>
          </w:p>
        </w:tc>
        <w:tc>
          <w:tcPr>
            <w:tcW w:w="140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行政许可</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2"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40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其他对外管理服务事项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0</w:t>
            </w:r>
          </w:p>
        </w:tc>
        <w:tc>
          <w:tcPr>
            <w:tcW w:w="992"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40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信息内容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上一年项目数量</w:t>
            </w:r>
          </w:p>
        </w:tc>
        <w:tc>
          <w:tcPr>
            <w:tcW w:w="992"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本年增/减</w:t>
            </w:r>
          </w:p>
        </w:tc>
        <w:tc>
          <w:tcPr>
            <w:tcW w:w="140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行政处罚</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2"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40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行政强制</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992"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140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000" w:type="pct"/>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信息内容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上一年项目数量</w:t>
            </w:r>
          </w:p>
        </w:tc>
        <w:tc>
          <w:tcPr>
            <w:tcW w:w="2393" w:type="pct"/>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本年增/减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56"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行政事业性收费</w:t>
            </w:r>
          </w:p>
        </w:tc>
        <w:tc>
          <w:tcPr>
            <w:tcW w:w="1350"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c>
          <w:tcPr>
            <w:tcW w:w="2393" w:type="pct"/>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r>
        <w:rPr>
          <w:rStyle w:val="6"/>
          <w:rFonts w:hint="eastAsia" w:ascii="黑体" w:hAnsi="黑体" w:eastAsia="黑体" w:cs="黑体"/>
          <w:b w:val="0"/>
          <w:bCs w:val="0"/>
          <w:i w:val="0"/>
          <w:caps w:val="0"/>
          <w:color w:val="000000"/>
          <w:spacing w:val="0"/>
          <w:kern w:val="0"/>
          <w:sz w:val="32"/>
          <w:szCs w:val="32"/>
          <w:shd w:val="clear" w:fill="FFFFFF"/>
          <w:lang w:val="en-US" w:eastAsia="zh-CN" w:bidi="ar"/>
        </w:rPr>
        <w:t>三、收到和处理政府信息公开申请情况</w:t>
      </w:r>
    </w:p>
    <w:tbl>
      <w:tblPr>
        <w:tblStyle w:val="4"/>
        <w:tblW w:w="1088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403"/>
        <w:gridCol w:w="980"/>
        <w:gridCol w:w="4213"/>
        <w:gridCol w:w="593"/>
        <w:gridCol w:w="609"/>
        <w:gridCol w:w="600"/>
        <w:gridCol w:w="634"/>
        <w:gridCol w:w="633"/>
        <w:gridCol w:w="567"/>
        <w:gridCol w:w="6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596" w:type="dxa"/>
            <w:gridSpan w:val="3"/>
            <w:vMerge w:val="restart"/>
            <w:tcBorders>
              <w:top w:val="single" w:color="00000A" w:sz="8" w:space="0"/>
              <w:left w:val="single" w:color="00000A" w:sz="8"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（本列数据的勾稽关系为：第一项加第二项之和，等于第三项加第四项之和）</w:t>
            </w:r>
          </w:p>
        </w:tc>
        <w:tc>
          <w:tcPr>
            <w:tcW w:w="4286" w:type="dxa"/>
            <w:gridSpan w:val="7"/>
            <w:tcBorders>
              <w:top w:val="single" w:color="00000A" w:sz="8"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96" w:type="dxa"/>
            <w:gridSpan w:val="3"/>
            <w:vMerge w:val="continue"/>
            <w:tcBorders>
              <w:top w:val="single" w:color="00000A" w:sz="8"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593"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自然人</w:t>
            </w:r>
          </w:p>
        </w:tc>
        <w:tc>
          <w:tcPr>
            <w:tcW w:w="3043" w:type="dxa"/>
            <w:gridSpan w:val="5"/>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法人或其他组织</w:t>
            </w:r>
          </w:p>
        </w:tc>
        <w:tc>
          <w:tcPr>
            <w:tcW w:w="650" w:type="dxa"/>
            <w:vMerge w:val="restart"/>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96" w:type="dxa"/>
            <w:gridSpan w:val="3"/>
            <w:vMerge w:val="continue"/>
            <w:tcBorders>
              <w:top w:val="single" w:color="00000A" w:sz="8"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593"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商业企业</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科研机构</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社会公益组织</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法律服务机构</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其他</w:t>
            </w:r>
          </w:p>
        </w:tc>
        <w:tc>
          <w:tcPr>
            <w:tcW w:w="650" w:type="dxa"/>
            <w:vMerge w:val="continue"/>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96" w:type="dxa"/>
            <w:gridSpan w:val="3"/>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0" w:name="_Hlk66973412"/>
            <w:bookmarkEnd w:id="0"/>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一、本年新收政府信息公开申请数量</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96" w:type="dxa"/>
            <w:gridSpan w:val="3"/>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二、上年结转政府信息公开申请数量</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restart"/>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三、本年度办理结果</w:t>
            </w:r>
          </w:p>
        </w:tc>
        <w:tc>
          <w:tcPr>
            <w:tcW w:w="5193" w:type="dxa"/>
            <w:gridSpan w:val="2"/>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（一）予以公开</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5193" w:type="dxa"/>
            <w:gridSpan w:val="2"/>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1" w:name="_Hlk66973981"/>
            <w:bookmarkEnd w:id="1"/>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（二）部分公开（区分处理的，只计这一情形，不计其他情形）</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（三）不予公开</w:t>
            </w: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1.属于国家秘密</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2" w:name="_Hlk66974104"/>
            <w:bookmarkEnd w:id="2"/>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2.其他法律行政法规禁止公开</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3.危及“三安全一稳定”</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3" w:name="_Hlk66974290"/>
            <w:bookmarkEnd w:id="3"/>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4.保护第三方合法权益</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5.属于三类内部事务信息</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4" w:name="_Hlk66974555"/>
            <w:bookmarkEnd w:id="4"/>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6.属于四类过程性信息</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7.属于行政执法案卷</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5" w:name="_Hlk66975211"/>
            <w:bookmarkEnd w:id="5"/>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8.属于行政查询事项</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（四）无法提供</w:t>
            </w: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1.本机关不掌握相关政府信息</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6" w:name="_Hlk66975392"/>
            <w:bookmarkEnd w:id="6"/>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2.没有现成信息需要另行制作</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2" w:hRule="atLeast"/>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7" w:name="_Hlk66975466"/>
            <w:bookmarkEnd w:id="7"/>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3.补正后申请内容仍不明确</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（五）不予处理</w:t>
            </w: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8" w:name="_Hlk66975537"/>
            <w:bookmarkEnd w:id="8"/>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1.信访举报投诉类申请</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2.重复申请</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3.要求提供公开出版物</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4.无正当理由大量反复申请</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5.要求行政机关确认或重新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出具已获取信息</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restart"/>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（六）其他处理</w:t>
            </w: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1.申请人无正当理由逾期不补正、行政机关不再处理其政府信息公开申请</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2.申请人逾期未按收费通知要求缴纳费用、行政机关不再处理其政府信息公开申请</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980" w:type="dxa"/>
            <w:vMerge w:val="continue"/>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213" w:type="dxa"/>
            <w:tcBorders>
              <w:top w:val="single" w:color="00000A" w:sz="6" w:space="0"/>
              <w:left w:val="single" w:color="00000A" w:sz="6" w:space="0"/>
              <w:bottom w:val="single" w:color="00000A" w:sz="6" w:space="0"/>
              <w:right w:val="single" w:color="00000A" w:sz="6" w:space="0"/>
            </w:tcBorders>
            <w:shd w:val="clear" w:color="auto" w:fill="auto"/>
            <w:tcMar>
              <w:lef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3.其他</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03" w:type="dxa"/>
            <w:vMerge w:val="continue"/>
            <w:tcBorders>
              <w:top w:val="single" w:color="00000A" w:sz="6" w:space="0"/>
              <w:left w:val="single" w:color="00000A" w:sz="8" w:space="0"/>
              <w:bottom w:val="single" w:color="00000A" w:sz="6" w:space="0"/>
              <w:right w:val="single" w:color="00000A" w:sz="6"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5193" w:type="dxa"/>
            <w:gridSpan w:val="2"/>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（七）总计</w:t>
            </w:r>
          </w:p>
        </w:tc>
        <w:tc>
          <w:tcPr>
            <w:tcW w:w="59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6"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6"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596" w:type="dxa"/>
            <w:gridSpan w:val="3"/>
            <w:tcBorders>
              <w:top w:val="single" w:color="00000A" w:sz="6" w:space="0"/>
              <w:left w:val="single" w:color="00000A" w:sz="8"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四、结转下年度继续办理</w:t>
            </w:r>
          </w:p>
        </w:tc>
        <w:tc>
          <w:tcPr>
            <w:tcW w:w="593"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9"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00"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4"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33"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567" w:type="dxa"/>
            <w:tcBorders>
              <w:top w:val="single" w:color="00000A" w:sz="6" w:space="0"/>
              <w:left w:val="single" w:color="00000A" w:sz="6" w:space="0"/>
              <w:bottom w:val="single" w:color="00000A" w:sz="8" w:space="0"/>
              <w:right w:val="single" w:color="00000A" w:sz="6"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650" w:type="dxa"/>
            <w:tcBorders>
              <w:top w:val="single" w:color="00000A" w:sz="6" w:space="0"/>
              <w:left w:val="single" w:color="00000A" w:sz="6" w:space="0"/>
              <w:bottom w:val="single" w:color="00000A" w:sz="8"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r>
        <w:rPr>
          <w:rStyle w:val="6"/>
          <w:rFonts w:hint="eastAsia" w:ascii="黑体" w:hAnsi="黑体" w:eastAsia="黑体" w:cs="黑体"/>
          <w:b w:val="0"/>
          <w:bCs w:val="0"/>
          <w:i w:val="0"/>
          <w:caps w:val="0"/>
          <w:color w:val="000000"/>
          <w:spacing w:val="0"/>
          <w:kern w:val="0"/>
          <w:sz w:val="32"/>
          <w:szCs w:val="32"/>
          <w:shd w:val="clear" w:fill="FFFFFF"/>
          <w:lang w:val="en-US" w:eastAsia="zh-CN" w:bidi="ar"/>
        </w:rPr>
        <w:t>四、政府信息公开行政复议、行政诉讼情况</w:t>
      </w:r>
    </w:p>
    <w:tbl>
      <w:tblPr>
        <w:tblStyle w:val="4"/>
        <w:tblW w:w="92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0"/>
        <w:gridCol w:w="445"/>
        <w:gridCol w:w="445"/>
        <w:gridCol w:w="445"/>
        <w:gridCol w:w="1237"/>
        <w:gridCol w:w="445"/>
        <w:gridCol w:w="445"/>
        <w:gridCol w:w="445"/>
        <w:gridCol w:w="445"/>
        <w:gridCol w:w="1182"/>
        <w:gridCol w:w="445"/>
        <w:gridCol w:w="445"/>
        <w:gridCol w:w="445"/>
        <w:gridCol w:w="445"/>
        <w:gridCol w:w="13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2850" w:type="dxa"/>
            <w:gridSpan w:val="5"/>
            <w:tcBorders>
              <w:top w:val="single" w:color="00000A" w:sz="8" w:space="0"/>
              <w:left w:val="single" w:color="00000A" w:sz="8" w:space="0"/>
              <w:bottom w:val="single" w:color="00000A" w:sz="8"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行政复议</w:t>
            </w:r>
          </w:p>
        </w:tc>
        <w:tc>
          <w:tcPr>
            <w:tcW w:w="5775" w:type="dxa"/>
            <w:gridSpan w:val="10"/>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75" w:type="dxa"/>
            <w:vMerge w:val="restart"/>
            <w:tcBorders>
              <w:top w:val="nil"/>
              <w:left w:val="single" w:color="00000A" w:sz="8" w:space="0"/>
              <w:bottom w:val="single" w:color="00000A" w:sz="8"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维持</w:t>
            </w:r>
          </w:p>
        </w:tc>
        <w:tc>
          <w:tcPr>
            <w:tcW w:w="390" w:type="dxa"/>
            <w:vMerge w:val="restart"/>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结果纠正</w:t>
            </w:r>
          </w:p>
        </w:tc>
        <w:tc>
          <w:tcPr>
            <w:tcW w:w="390" w:type="dxa"/>
            <w:vMerge w:val="restart"/>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其他结果</w:t>
            </w:r>
          </w:p>
        </w:tc>
        <w:tc>
          <w:tcPr>
            <w:tcW w:w="390" w:type="dxa"/>
            <w:vMerge w:val="restart"/>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审结</w:t>
            </w:r>
          </w:p>
        </w:tc>
        <w:tc>
          <w:tcPr>
            <w:tcW w:w="450" w:type="dxa"/>
            <w:vMerge w:val="restart"/>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计</w:t>
            </w:r>
          </w:p>
        </w:tc>
        <w:tc>
          <w:tcPr>
            <w:tcW w:w="2760" w:type="dxa"/>
            <w:gridSpan w:val="5"/>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未经复议直接起诉</w:t>
            </w:r>
          </w:p>
        </w:tc>
        <w:tc>
          <w:tcPr>
            <w:tcW w:w="2805" w:type="dxa"/>
            <w:gridSpan w:val="5"/>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bookmarkStart w:id="9" w:name="_Hlk67039688"/>
            <w:bookmarkEnd w:id="9"/>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75" w:type="dxa"/>
            <w:vMerge w:val="continue"/>
            <w:tcBorders>
              <w:top w:val="nil"/>
              <w:left w:val="single" w:color="00000A" w:sz="8" w:space="0"/>
              <w:bottom w:val="single" w:color="00000A" w:sz="8" w:space="0"/>
              <w:right w:val="single" w:color="00000A" w:sz="8" w:space="0"/>
            </w:tcBorders>
            <w:shd w:val="clear" w:color="auto" w:fill="auto"/>
            <w:tcMar>
              <w:left w:w="115" w:type="dxa"/>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390" w:type="dxa"/>
            <w:vMerge w:val="continue"/>
            <w:tcBorders>
              <w:top w:val="nil"/>
              <w:left w:val="nil"/>
              <w:bottom w:val="single" w:color="00000A" w:sz="8" w:space="0"/>
              <w:right w:val="single" w:color="00000A" w:sz="8" w:space="0"/>
            </w:tcBorders>
            <w:shd w:val="clear" w:color="auto" w:fill="auto"/>
            <w:tcMar>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390" w:type="dxa"/>
            <w:vMerge w:val="continue"/>
            <w:tcBorders>
              <w:top w:val="single" w:color="00000A" w:sz="8" w:space="0"/>
              <w:left w:val="nil"/>
              <w:bottom w:val="single" w:color="00000A" w:sz="8" w:space="0"/>
              <w:right w:val="single" w:color="00000A" w:sz="8" w:space="0"/>
            </w:tcBorders>
            <w:shd w:val="clear" w:color="auto" w:fill="auto"/>
            <w:tcMar>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390" w:type="dxa"/>
            <w:vMerge w:val="continue"/>
            <w:tcBorders>
              <w:top w:val="single" w:color="00000A" w:sz="8" w:space="0"/>
              <w:left w:val="nil"/>
              <w:bottom w:val="single" w:color="00000A" w:sz="8" w:space="0"/>
              <w:right w:val="single" w:color="00000A" w:sz="8" w:space="0"/>
            </w:tcBorders>
            <w:shd w:val="clear" w:color="auto" w:fill="auto"/>
            <w:tcMar>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450" w:type="dxa"/>
            <w:vMerge w:val="continue"/>
            <w:tcBorders>
              <w:top w:val="single" w:color="00000A" w:sz="8" w:space="0"/>
              <w:left w:val="nil"/>
              <w:bottom w:val="single" w:color="00000A" w:sz="8" w:space="0"/>
              <w:right w:val="single" w:color="00000A" w:sz="8" w:space="0"/>
            </w:tcBorders>
            <w:shd w:val="clear" w:color="auto" w:fill="auto"/>
            <w:tcMar>
              <w:right w:w="1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p>
        </w:tc>
        <w:tc>
          <w:tcPr>
            <w:tcW w:w="345"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结果维持</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结果纠正</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审结</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总计</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结果维持</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纠正</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结果</w:t>
            </w:r>
          </w:p>
        </w:tc>
        <w:tc>
          <w:tcPr>
            <w:tcW w:w="390"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尚未审结</w:t>
            </w:r>
          </w:p>
        </w:tc>
        <w:tc>
          <w:tcPr>
            <w:tcW w:w="375" w:type="dxa"/>
            <w:tcBorders>
              <w:top w:val="single" w:color="00000A" w:sz="8" w:space="0"/>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75" w:type="dxa"/>
            <w:tcBorders>
              <w:top w:val="nil"/>
              <w:left w:val="single" w:color="00000A" w:sz="8" w:space="0"/>
              <w:bottom w:val="single" w:color="00000A" w:sz="8" w:space="0"/>
              <w:right w:val="single" w:color="00000A" w:sz="8" w:space="0"/>
            </w:tcBorders>
            <w:shd w:val="clear" w:color="auto" w:fill="auto"/>
            <w:tcMar>
              <w:left w:w="115" w:type="dxa"/>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45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45"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90"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c>
          <w:tcPr>
            <w:tcW w:w="375" w:type="dxa"/>
            <w:tcBorders>
              <w:top w:val="nil"/>
              <w:left w:val="nil"/>
              <w:bottom w:val="single" w:color="00000A" w:sz="8" w:space="0"/>
              <w:right w:val="single" w:color="00000A" w:sz="8" w:space="0"/>
            </w:tcBorders>
            <w:shd w:val="clear" w:color="auto" w:fill="auto"/>
            <w:tcMar>
              <w:right w:w="11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14:textFill>
                  <w14:solidFill>
                    <w14:schemeClr w14:val="tx1"/>
                  </w14:solidFill>
                </w14:textFill>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r>
        <w:rPr>
          <w:rStyle w:val="6"/>
          <w:rFonts w:hint="eastAsia" w:ascii="黑体" w:hAnsi="黑体" w:eastAsia="黑体" w:cs="黑体"/>
          <w:b w:val="0"/>
          <w:bCs w:val="0"/>
          <w:i w:val="0"/>
          <w:caps w:val="0"/>
          <w:color w:val="000000"/>
          <w:spacing w:val="0"/>
          <w:kern w:val="0"/>
          <w:sz w:val="32"/>
          <w:szCs w:val="32"/>
          <w:shd w:val="clear" w:fill="FFFFFF"/>
          <w:lang w:val="en-US" w:eastAsia="zh-CN" w:bidi="ar"/>
        </w:rPr>
        <w:t>五、政府信息公开工作存在的主要问题及改进情况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枣庄高新区党群工作部</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信息公开工作虽然取得了一些进步，但与上级要求相比还有一定差距，仍然存在主动公开意识不够高、公开内容不全面、公开形式不够灵活多样等问题。下一步，我们将按照</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上级</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部署要求，完善工作制度、细化工作措施，不断提升信息公开工作水平。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r>
        <w:rPr>
          <w:rStyle w:val="6"/>
          <w:rFonts w:hint="eastAsia" w:ascii="黑体" w:hAnsi="黑体" w:eastAsia="黑体" w:cs="黑体"/>
          <w:b w:val="0"/>
          <w:bCs w:val="0"/>
          <w:i w:val="0"/>
          <w:caps w:val="0"/>
          <w:color w:val="000000"/>
          <w:spacing w:val="0"/>
          <w:kern w:val="0"/>
          <w:sz w:val="32"/>
          <w:szCs w:val="32"/>
          <w:shd w:val="clear" w:fill="FFFFFF"/>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1.本年度政府信息公开申请未达到《政府信息公开信息处理费管理办法》（国办函〔2020〕109号）所规定的信息处理费收费标准，故未收取信息处理费。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2.本行政机关人大代表建议和政协提案办理结果公开情况。全年未承办区级人大代表建议和区政协委员提案。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3.本行政机关年度政务公开工作创新情况。严格要求，做好政务公开工作，提高政务公开信息的内容质量。加强政务公开信息的宣传工作，利用微信公众号，及时发布相关信息，满足群众的需求。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4.本行政机关政府信息公开工作年度报告数据统计需要说明的事项。本报告中所列数据的统计时限为2022年1月1日至2022年12月31日。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5.本行政机关认为需要报告的其他事项。无。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6.其他有关文件专门要求通过政府信息公开工作年度报告予以报告的事项。无。</w:t>
      </w: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ODBiOWY1NzU1NTRjODk1MzYxMTZlZjYxMWIzMjYifQ=="/>
  </w:docVars>
  <w:rsids>
    <w:rsidRoot w:val="00000000"/>
    <w:rsid w:val="03AD58A1"/>
    <w:rsid w:val="0D136775"/>
    <w:rsid w:val="10A60B7B"/>
    <w:rsid w:val="130A686C"/>
    <w:rsid w:val="195919B3"/>
    <w:rsid w:val="287C36AF"/>
    <w:rsid w:val="2D595FCE"/>
    <w:rsid w:val="34962968"/>
    <w:rsid w:val="349A75F8"/>
    <w:rsid w:val="40A702AB"/>
    <w:rsid w:val="47941C85"/>
    <w:rsid w:val="47D46525"/>
    <w:rsid w:val="4D3D691B"/>
    <w:rsid w:val="4EA318CC"/>
    <w:rsid w:val="4F8B1BBF"/>
    <w:rsid w:val="54FC355F"/>
    <w:rsid w:val="5D1A6B3E"/>
    <w:rsid w:val="6057188B"/>
    <w:rsid w:val="63507136"/>
    <w:rsid w:val="655A2308"/>
    <w:rsid w:val="7B38234C"/>
    <w:rsid w:val="7EAB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2000" b="0" i="0" u="none" strike="noStrike" kern="1200" cap="none" spc="0" normalizeH="0" baseline="0">
                <a:solidFill>
                  <a:schemeClr val="tx1">
                    <a:lumMod val="65000"/>
                    <a:lumOff val="35000"/>
                  </a:schemeClr>
                </a:solidFill>
                <a:latin typeface="+mj-lt"/>
                <a:ea typeface="+mj-ea"/>
                <a:cs typeface="+mj-cs"/>
              </a:defRPr>
            </a:pPr>
            <a:r>
              <a:t>信息公开</a:t>
            </a:r>
          </a:p>
        </c:rich>
      </c:tx>
      <c:layout/>
      <c:overlay val="0"/>
      <c:spPr>
        <a:noFill/>
        <a:ln>
          <a:noFill/>
        </a:ln>
        <a:effectLst/>
      </c:spPr>
    </c:title>
    <c:autoTitleDeleted val="0"/>
    <c:plotArea>
      <c:layout>
        <c:manualLayout>
          <c:layoutTarget val="inner"/>
          <c:xMode val="edge"/>
          <c:yMode val="edge"/>
          <c:x val="0.0777094437611043"/>
          <c:y val="0.183230474569057"/>
          <c:w val="0.77810578105781"/>
          <c:h val="0.704277505852309"/>
        </c:manualLayout>
      </c:layout>
      <c:barChart>
        <c:barDir val="col"/>
        <c:grouping val="clustered"/>
        <c:varyColors val="0"/>
        <c:ser>
          <c:idx val="0"/>
          <c:order val="0"/>
          <c:spPr>
            <a:solidFill>
              <a:schemeClr val="accent1"/>
            </a:solidFill>
            <a:ln>
              <a:noFill/>
            </a:ln>
            <a:effectLst/>
          </c:spPr>
          <c:invertIfNegative val="0"/>
          <c:dLbls>
            <c:delete val="1"/>
          </c:dLbls>
          <c:val>
            <c:numRef>
              <c:f>Sheet1!$A$2:$A$5</c:f>
              <c:numCache>
                <c:formatCode>General</c:formatCode>
                <c:ptCount val="4"/>
                <c:pt idx="0">
                  <c:v>0</c:v>
                </c:pt>
                <c:pt idx="1">
                  <c:v>0</c:v>
                </c:pt>
                <c:pt idx="2">
                  <c:v>0</c:v>
                </c:pt>
                <c:pt idx="3">
                  <c:v>0</c:v>
                </c:pt>
              </c:numCache>
            </c:numRef>
          </c:val>
        </c:ser>
        <c:ser>
          <c:idx val="1"/>
          <c:order val="1"/>
          <c:spPr>
            <a:solidFill>
              <a:schemeClr val="accent2"/>
            </a:solidFill>
            <a:ln>
              <a:noFill/>
            </a:ln>
            <a:effectLst/>
          </c:spPr>
          <c:invertIfNegative val="0"/>
          <c:dLbls>
            <c:delete val="1"/>
          </c:dLbls>
          <c:val>
            <c:numRef>
              <c:f>Sheet1!$B$2:$B$5</c:f>
              <c:numCache>
                <c:formatCode>General</c:formatCode>
                <c:ptCount val="4"/>
                <c:pt idx="0">
                  <c:v>3</c:v>
                </c:pt>
                <c:pt idx="1">
                  <c:v>3</c:v>
                </c:pt>
                <c:pt idx="2">
                  <c:v>42</c:v>
                </c:pt>
                <c:pt idx="3">
                  <c:v>320</c:v>
                </c:pt>
              </c:numCache>
            </c:numRef>
          </c:val>
        </c:ser>
        <c:dLbls>
          <c:showLegendKey val="0"/>
          <c:showVal val="0"/>
          <c:showCatName val="0"/>
          <c:showSerName val="0"/>
          <c:showPercent val="0"/>
          <c:showBubbleSize val="0"/>
        </c:dLbls>
        <c:gapWidth val="150"/>
        <c:overlap val="0"/>
        <c:axId val="556515504"/>
        <c:axId val="737968095"/>
      </c:barChart>
      <c:catAx>
        <c:axId val="55651550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latin typeface="+mn-lt"/>
                <a:ea typeface="+mn-ea"/>
                <a:cs typeface="+mn-cs"/>
              </a:defRPr>
            </a:pPr>
          </a:p>
        </c:txPr>
        <c:crossAx val="737968095"/>
        <c:crosses val="autoZero"/>
        <c:auto val="1"/>
        <c:lblAlgn val="ctr"/>
        <c:lblOffset val="100"/>
        <c:noMultiLvlLbl val="0"/>
      </c:catAx>
      <c:valAx>
        <c:axId val="737968095"/>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51550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2156</Words>
  <Characters>2265</Characters>
  <Lines>0</Lines>
  <Paragraphs>0</Paragraphs>
  <TotalTime>7</TotalTime>
  <ScaleCrop>false</ScaleCrop>
  <LinksUpToDate>false</LinksUpToDate>
  <CharactersWithSpaces>2265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2022-01-18T01:17:00Z</dcterms:created>
  <dc:creator>ZGBBGS</dc:creator>
  <cp:lastModifiedBy>党群</cp:lastModifiedBy>
  <cp:lastPrinted>2023-01-30T07:44:00Z</cp:lastPrinted>
  <dcterms:modified xsi:type="dcterms:W3CDTF">2023-02-09T07:23:49Z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2B6083C1D2EA4E0B803383DB234B0788</vt:lpwstr>
  </property>
</Properties>
</file>