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方正小标宋简体" w:cs="Times New Roman"/>
          <w:color w:val="0D0D0D" w:themeColor="text1" w:themeTint="F2"/>
          <w:kern w:val="0"/>
          <w:sz w:val="44"/>
          <w:szCs w:val="44"/>
          <w:lang w:val="en-US" w:eastAsia="zh-CN"/>
          <w14:textFill>
            <w14:solidFill>
              <w14:schemeClr w14:val="tx1">
                <w14:lumMod w14:val="95000"/>
                <w14:lumOff w14:val="5000"/>
              </w14:schemeClr>
            </w14:solidFill>
          </w14:textFill>
        </w:rPr>
      </w:pPr>
      <w:r>
        <w:rPr>
          <w:rFonts w:hint="eastAsia" w:ascii="Times New Roman" w:hAnsi="Times New Roman" w:eastAsia="方正小标宋简体" w:cs="Times New Roman"/>
          <w:color w:val="0D0D0D" w:themeColor="text1" w:themeTint="F2"/>
          <w:kern w:val="0"/>
          <w:sz w:val="44"/>
          <w:szCs w:val="44"/>
          <w:lang w:val="en-US" w:eastAsia="zh-CN"/>
          <w14:textFill>
            <w14:solidFill>
              <w14:schemeClr w14:val="tx1">
                <w14:lumMod w14:val="95000"/>
                <w14:lumOff w14:val="5000"/>
              </w14:schemeClr>
            </w14:solidFill>
          </w14:textFill>
        </w:rPr>
        <w:t>枣庄高新产业东区运营有限公司202</w:t>
      </w:r>
      <w:r>
        <w:rPr>
          <w:rFonts w:hint="eastAsia" w:eastAsia="方正小标宋简体" w:cs="Times New Roman"/>
          <w:color w:val="0D0D0D" w:themeColor="text1" w:themeTint="F2"/>
          <w:kern w:val="0"/>
          <w:sz w:val="44"/>
          <w:szCs w:val="44"/>
          <w:lang w:val="en-US" w:eastAsia="zh-CN"/>
          <w14:textFill>
            <w14:solidFill>
              <w14:schemeClr w14:val="tx1">
                <w14:lumMod w14:val="95000"/>
                <w14:lumOff w14:val="5000"/>
              </w14:schemeClr>
            </w14:solidFill>
          </w14:textFill>
        </w:rPr>
        <w:t>2</w:t>
      </w:r>
      <w:r>
        <w:rPr>
          <w:rFonts w:hint="eastAsia" w:ascii="Times New Roman" w:hAnsi="Times New Roman" w:eastAsia="方正小标宋简体" w:cs="Times New Roman"/>
          <w:color w:val="0D0D0D" w:themeColor="text1" w:themeTint="F2"/>
          <w:kern w:val="0"/>
          <w:sz w:val="44"/>
          <w:szCs w:val="44"/>
          <w:lang w:val="en-US" w:eastAsia="zh-CN"/>
          <w14:textFill>
            <w14:solidFill>
              <w14:schemeClr w14:val="tx1">
                <w14:lumMod w14:val="95000"/>
                <w14:lumOff w14:val="5000"/>
              </w14:schemeClr>
            </w14:solidFill>
          </w14:textFill>
        </w:rPr>
        <w:t>年政府信息公开工作年度报告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55" w:lineRule="exact"/>
        <w:ind w:right="0" w:firstLine="640" w:firstLineChars="200"/>
        <w:jc w:val="left"/>
        <w:textAlignment w:val="auto"/>
        <w:rPr>
          <w:rFonts w:hint="eastAsia" w:ascii="仿宋_GB2312" w:hAnsi="微软雅黑" w:eastAsia="仿宋_GB2312" w:cs="仿宋_GB2312"/>
          <w:color w:val="181717" w:themeColor="background2" w:themeShade="19"/>
          <w:kern w:val="0"/>
          <w:sz w:val="32"/>
          <w:szCs w:val="32"/>
          <w:shd w:val="clear" w:color="auto" w:fill="FFFFFF"/>
          <w:lang w:val="en-US" w:eastAsia="zh-CN" w:bidi="ar"/>
        </w:rPr>
      </w:pPr>
      <w:r>
        <w:rPr>
          <w:rFonts w:hint="eastAsia" w:ascii="仿宋_GB2312" w:hAnsi="微软雅黑" w:eastAsia="仿宋_GB2312" w:cs="仿宋_GB2312"/>
          <w:color w:val="181717" w:themeColor="background2" w:themeShade="19"/>
          <w:kern w:val="0"/>
          <w:sz w:val="32"/>
          <w:szCs w:val="32"/>
          <w:shd w:val="clear" w:color="auto" w:fill="FFFFFF"/>
          <w:lang w:val="en-US" w:eastAsia="zh-CN" w:bidi="ar"/>
        </w:rPr>
        <w:t>根据《中华人民共和国政府信息公开条例》、《国务院办公厅政府信息与政务公开办公室关于政府信息公开年度报告有关事项的通知》规定，按照省、市、区《关于做好2022年政府信息公开工作年度报告编制和发布工作的通知》要求，结合产业东区工作实际情况，特向社会公开枣庄高新产业东区运营有限公司2022年度政府信息公开工作年度报告。</w:t>
      </w:r>
      <w:r>
        <w:rPr>
          <w:rFonts w:hint="eastAsia" w:ascii="仿宋_GB2312" w:hAnsi="宋体" w:eastAsia="仿宋_GB2312" w:cs="仿宋_GB2312"/>
          <w:i w:val="0"/>
          <w:iCs w:val="0"/>
          <w:caps w:val="0"/>
          <w:color w:val="181717" w:themeColor="background2" w:themeShade="19"/>
          <w:spacing w:val="0"/>
          <w:sz w:val="32"/>
          <w:szCs w:val="32"/>
          <w:shd w:val="clear" w:color="auto" w:fill="FFFFFF"/>
        </w:rPr>
        <w:t>包括总体情况，主动公开政府信息情况；收到和处理政府信息公开申请的情况；因政府信息公开工作被申请行政复议、提起行政诉讼的情况；政府信息公开工作存在的主要问题及改进情况，其他需要报告的事项等。</w:t>
      </w:r>
      <w:r>
        <w:rPr>
          <w:rFonts w:hint="eastAsia" w:ascii="仿宋_GB2312" w:hAnsi="微软雅黑" w:eastAsia="仿宋_GB2312" w:cs="仿宋_GB2312"/>
          <w:color w:val="181717" w:themeColor="background2" w:themeShade="19"/>
          <w:sz w:val="32"/>
          <w:szCs w:val="32"/>
          <w:lang w:val="en-US" w:eastAsia="zh-CN"/>
        </w:rPr>
        <w:t>本报告中所列数据的统计期限自2022年1月1日起至2022年12月31日止。</w:t>
      </w:r>
    </w:p>
    <w:p>
      <w:pPr>
        <w:pStyle w:val="4"/>
        <w:numPr>
          <w:ilvl w:val="0"/>
          <w:numId w:val="0"/>
        </w:numPr>
        <w:spacing w:before="0" w:after="0" w:line="240" w:lineRule="auto"/>
        <w:ind w:firstLine="643" w:firstLineChars="200"/>
        <w:rPr>
          <w:rFonts w:ascii="楷体_GB2312" w:eastAsia="楷体_GB2312"/>
          <w:color w:val="0D0D0D" w:themeColor="text1" w:themeTint="F2"/>
          <w14:textFill>
            <w14:solidFill>
              <w14:schemeClr w14:val="tx1">
                <w14:lumMod w14:val="95000"/>
                <w14:lumOff w14:val="5000"/>
              </w14:schemeClr>
            </w14:solidFill>
          </w14:textFill>
        </w:rPr>
      </w:pPr>
      <w:r>
        <w:rPr>
          <w:rFonts w:hint="eastAsia" w:ascii="楷体_GB2312" w:eastAsia="楷体_GB2312"/>
          <w:color w:val="0D0D0D" w:themeColor="text1" w:themeTint="F2"/>
          <w:lang w:val="en-US" w:eastAsia="zh-CN"/>
          <w14:textFill>
            <w14:solidFill>
              <w14:schemeClr w14:val="tx1">
                <w14:lumMod w14:val="95000"/>
                <w14:lumOff w14:val="5000"/>
              </w14:schemeClr>
            </w14:solidFill>
          </w14:textFill>
        </w:rPr>
        <w:t>一、</w:t>
      </w:r>
      <w:r>
        <w:rPr>
          <w:rFonts w:hint="eastAsia" w:ascii="楷体_GB2312" w:eastAsia="楷体_GB2312"/>
          <w:color w:val="0D0D0D" w:themeColor="text1" w:themeTint="F2"/>
          <w14:textFill>
            <w14:solidFill>
              <w14:schemeClr w14:val="tx1">
                <w14:lumMod w14:val="95000"/>
                <w14:lumOff w14:val="5000"/>
              </w14:schemeClr>
            </w14:solidFill>
          </w14:textFill>
        </w:rPr>
        <w:t>总体情况</w:t>
      </w:r>
    </w:p>
    <w:p>
      <w:pPr>
        <w:ind w:firstLine="640" w:firstLineChars="200"/>
        <w:rPr>
          <w:rFonts w:ascii="仿宋_GB2312" w:eastAsia="仿宋_GB2312"/>
          <w:color w:val="181717" w:themeColor="background2" w:themeShade="19"/>
          <w:sz w:val="32"/>
          <w:szCs w:val="32"/>
        </w:rPr>
      </w:pPr>
      <w:r>
        <w:rPr>
          <w:rFonts w:hint="eastAsia" w:ascii="仿宋_GB2312" w:eastAsia="仿宋_GB2312"/>
          <w:color w:val="181717" w:themeColor="background2" w:themeShade="19"/>
          <w:sz w:val="32"/>
          <w:szCs w:val="32"/>
          <w:lang w:val="en-US" w:eastAsia="zh-CN"/>
        </w:rPr>
        <w:t>2022年，产业东区运营公司严格按照《中华人民共和国政府信息公开条例》和省、市、区各级政府对政府信息公开工作的具体实施要求，加强对信息公开工作的宣传力度，完善工作机制，以政务公开为重点，进一步规范公开的内容和程序，促进政府信息公开工作顺利运行。</w:t>
      </w:r>
    </w:p>
    <w:p>
      <w:pPr>
        <w:numPr>
          <w:ilvl w:val="0"/>
          <w:numId w:val="1"/>
        </w:numPr>
        <w:ind w:firstLine="643" w:firstLineChars="200"/>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pPr>
      <w:r>
        <w:rPr>
          <w:rFonts w:ascii="仿宋_GB2312" w:eastAsia="仿宋_GB2312"/>
          <w:b/>
          <w:bCs/>
          <w:color w:val="0D0D0D" w:themeColor="text1" w:themeTint="F2"/>
          <w:sz w:val="32"/>
          <w:szCs w:val="32"/>
          <w14:textFill>
            <w14:solidFill>
              <w14:schemeClr w14:val="tx1">
                <w14:lumMod w14:val="95000"/>
                <w14:lumOff w14:val="5000"/>
              </w14:schemeClr>
            </w14:solidFill>
          </w14:textFill>
        </w:rPr>
        <w:t>主动公开</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2022年产业东区运营公司通过政府公开网站主动</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发布信息</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112条。</w:t>
      </w:r>
    </w:p>
    <w:p>
      <w:pPr>
        <w:pStyle w:val="2"/>
        <w:numPr>
          <w:ilvl w:val="0"/>
          <w:numId w:val="0"/>
        </w:numPr>
        <w:rPr>
          <w:rFonts w:hint="default"/>
          <w:color w:val="0D0D0D" w:themeColor="text1" w:themeTint="F2"/>
          <w:lang w:val="en-US"/>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114300" distR="114300">
            <wp:extent cx="4572000" cy="27527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3" w:firstLineChars="200"/>
        <w:rPr>
          <w:rFonts w:hint="eastAsia" w:ascii="仿宋_GB2312" w:eastAsia="仿宋_GB2312"/>
          <w:color w:val="0D0D0D" w:themeColor="text1" w:themeTint="F2"/>
          <w:sz w:val="32"/>
          <w:szCs w:val="32"/>
          <w:lang w:eastAsia="zh-CN"/>
          <w14:textFill>
            <w14:solidFill>
              <w14:schemeClr w14:val="tx1">
                <w14:lumMod w14:val="95000"/>
                <w14:lumOff w14:val="5000"/>
              </w14:schemeClr>
            </w14:solidFill>
          </w14:textFill>
        </w:rPr>
      </w:pPr>
      <w:bookmarkStart w:id="10" w:name="_GoBack"/>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b/>
          <w:bCs/>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ascii="仿宋_GB2312" w:eastAsia="仿宋_GB2312"/>
          <w:b/>
          <w:bCs/>
          <w:color w:val="0D0D0D" w:themeColor="text1" w:themeTint="F2"/>
          <w:sz w:val="32"/>
          <w:szCs w:val="32"/>
          <w14:textFill>
            <w14:solidFill>
              <w14:schemeClr w14:val="tx1">
                <w14:lumMod w14:val="95000"/>
                <w14:lumOff w14:val="5000"/>
              </w14:schemeClr>
            </w14:solidFill>
          </w14:textFill>
        </w:rPr>
        <w:t>依申请公开</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本年度没有依申请公开信息</w:t>
      </w:r>
      <w:r>
        <w:rPr>
          <w:rFonts w:hint="eastAsia" w:ascii="仿宋_GB2312" w:eastAsia="仿宋_GB2312"/>
          <w:color w:val="0D0D0D" w:themeColor="text1" w:themeTint="F2"/>
          <w:sz w:val="32"/>
          <w:szCs w:val="32"/>
          <w:lang w:eastAsia="zh-CN"/>
          <w14:textFill>
            <w14:solidFill>
              <w14:schemeClr w14:val="tx1">
                <w14:lumMod w14:val="95000"/>
                <w14:lumOff w14:val="5000"/>
              </w14:schemeClr>
            </w14:solidFill>
          </w14:textFill>
        </w:rPr>
        <w:t>。</w:t>
      </w:r>
    </w:p>
    <w:p>
      <w:pPr>
        <w:ind w:firstLine="643"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b/>
          <w:bCs/>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ascii="仿宋_GB2312" w:eastAsia="仿宋_GB2312"/>
          <w:b/>
          <w:bCs/>
          <w:color w:val="0D0D0D" w:themeColor="text1" w:themeTint="F2"/>
          <w:sz w:val="32"/>
          <w:szCs w:val="32"/>
          <w14:textFill>
            <w14:solidFill>
              <w14:schemeClr w14:val="tx1">
                <w14:lumMod w14:val="95000"/>
                <w14:lumOff w14:val="5000"/>
              </w14:schemeClr>
            </w14:solidFill>
          </w14:textFill>
        </w:rPr>
        <w:t>政府信息管理</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为确保信息公开工作落到实处，</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产业东区</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指定专门人员管理此项工作，负责推进、指导、协调、监督信息公开工作，积极与上级对接，形成了上下联动、覆盖面广的信公开网络体系，保证工作的顺利开展。</w:t>
      </w:r>
    </w:p>
    <w:p>
      <w:pPr>
        <w:ind w:firstLine="643" w:firstLineChars="200"/>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b/>
          <w:bCs/>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政府信息公开</w:t>
      </w:r>
      <w:r>
        <w:rPr>
          <w:rFonts w:ascii="仿宋_GB2312" w:eastAsia="仿宋_GB2312"/>
          <w:b/>
          <w:bCs/>
          <w:color w:val="0D0D0D" w:themeColor="text1" w:themeTint="F2"/>
          <w:sz w:val="32"/>
          <w:szCs w:val="32"/>
          <w14:textFill>
            <w14:solidFill>
              <w14:schemeClr w14:val="tx1">
                <w14:lumMod w14:val="95000"/>
                <w14:lumOff w14:val="5000"/>
              </w14:schemeClr>
            </w14:solidFill>
          </w14:textFill>
        </w:rPr>
        <w:t>平台建设</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产业东区运营公司</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于2019年</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12</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月份成立，2019年12月</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在</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管委会政府公开网站</w:t>
      </w: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增设产业东区运营公司</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网站公开平台。</w:t>
      </w:r>
    </w:p>
    <w:p>
      <w:pPr>
        <w:ind w:firstLine="643" w:firstLineChars="200"/>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eastAsia="仿宋_GB2312"/>
          <w:b/>
          <w:bCs/>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仿宋_GB2312" w:eastAsia="仿宋_GB2312"/>
          <w:b/>
          <w:bCs/>
          <w:color w:val="0D0D0D" w:themeColor="text1" w:themeTint="F2"/>
          <w:sz w:val="32"/>
          <w:szCs w:val="32"/>
          <w:lang w:eastAsia="zh-CN"/>
          <w14:textFill>
            <w14:solidFill>
              <w14:schemeClr w14:val="tx1">
                <w14:lumMod w14:val="95000"/>
                <w14:lumOff w14:val="5000"/>
              </w14:schemeClr>
            </w14:solidFill>
          </w14:textFill>
        </w:rPr>
        <w:t>）</w:t>
      </w:r>
      <w:r>
        <w:rPr>
          <w:rFonts w:ascii="仿宋_GB2312" w:eastAsia="仿宋_GB2312"/>
          <w:b/>
          <w:bCs/>
          <w:color w:val="0D0D0D" w:themeColor="text1" w:themeTint="F2"/>
          <w:sz w:val="32"/>
          <w:szCs w:val="32"/>
          <w14:textFill>
            <w14:solidFill>
              <w14:schemeClr w14:val="tx1">
                <w14:lumMod w14:val="95000"/>
                <w14:lumOff w14:val="5000"/>
              </w14:schemeClr>
            </w14:solidFill>
          </w14:textFill>
        </w:rPr>
        <w:t>监督保障</w:t>
      </w:r>
      <w:r>
        <w:rPr>
          <w:rFonts w:hint="eastAsia" w:ascii="仿宋_GB2312" w:eastAsia="仿宋_GB2312"/>
          <w:b/>
          <w:bCs/>
          <w:color w:val="0D0D0D" w:themeColor="text1" w:themeTint="F2"/>
          <w:sz w:val="32"/>
          <w:szCs w:val="32"/>
          <w14:textFill>
            <w14:solidFill>
              <w14:schemeClr w14:val="tx1">
                <w14:lumMod w14:val="95000"/>
                <w14:lumOff w14:val="5000"/>
              </w14:schemeClr>
            </w14:solidFill>
          </w14:textFill>
        </w:rPr>
        <w:t>。</w:t>
      </w:r>
    </w:p>
    <w:p>
      <w:pPr>
        <w:ind w:firstLine="640" w:firstLineChars="200"/>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.明确专人负责，建立健全政府信息公开工作制度，落实责任制，明确分管领导，指定工作人员专门负责信息公开网站维护和更新。</w:t>
      </w:r>
    </w:p>
    <w:p>
      <w:pPr>
        <w:ind w:firstLine="640" w:firstLineChars="200"/>
        <w:rPr>
          <w:rFonts w:hint="eastAsia"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.严格规范要求，坚持按照区下发的考核制度标准进一步加强政务公开工作的要求和规范，切实将政务信息公开工作落到实处，执行到位。</w:t>
      </w:r>
    </w:p>
    <w:p>
      <w:pPr>
        <w:pStyle w:val="4"/>
        <w:numPr>
          <w:ilvl w:val="0"/>
          <w:numId w:val="0"/>
        </w:numPr>
        <w:spacing w:before="0" w:after="0" w:line="240" w:lineRule="auto"/>
        <w:ind w:firstLine="643" w:firstLineChars="200"/>
        <w:rPr>
          <w:rFonts w:hint="eastAsia" w:ascii="Times New Roman" w:hAnsi="Times New Roman" w:eastAsia="方正小标宋简体" w:cs="Times New Roman"/>
          <w:color w:val="0D0D0D" w:themeColor="text1" w:themeTint="F2"/>
          <w:kern w:val="0"/>
          <w:sz w:val="44"/>
          <w:szCs w:val="44"/>
          <w:lang w:val="en-US" w:eastAsia="zh-CN"/>
          <w14:textFill>
            <w14:solidFill>
              <w14:schemeClr w14:val="tx1">
                <w14:lumMod w14:val="95000"/>
                <w14:lumOff w14:val="5000"/>
              </w14:schemeClr>
            </w14:solidFill>
          </w14:textFill>
        </w:rPr>
      </w:pPr>
      <w:r>
        <w:rPr>
          <w:rFonts w:hint="eastAsia" w:ascii="楷体_GB2312" w:eastAsia="楷体_GB2312"/>
          <w:color w:val="0D0D0D" w:themeColor="text1" w:themeTint="F2"/>
          <w:lang w:val="en-US" w:eastAsia="zh-CN"/>
          <w14:textFill>
            <w14:solidFill>
              <w14:schemeClr w14:val="tx1">
                <w14:lumMod w14:val="95000"/>
                <w14:lumOff w14:val="5000"/>
              </w14:schemeClr>
            </w14:solidFill>
          </w14:textFill>
        </w:rPr>
        <w:t>二、</w:t>
      </w:r>
      <w:r>
        <w:rPr>
          <w:rFonts w:ascii="楷体_GB2312" w:eastAsia="楷体_GB2312"/>
          <w:color w:val="0D0D0D" w:themeColor="text1" w:themeTint="F2"/>
          <w14:textFill>
            <w14:solidFill>
              <w14:schemeClr w14:val="tx1">
                <w14:lumMod w14:val="95000"/>
                <w14:lumOff w14:val="5000"/>
              </w14:schemeClr>
            </w14:solidFill>
          </w14:textFill>
        </w:rPr>
        <w:t>行政机关主动公开政府信息情况</w:t>
      </w:r>
    </w:p>
    <w:p>
      <w:pPr>
        <w:rPr>
          <w:rFonts w:hint="eastAsia"/>
          <w:color w:val="0D0D0D" w:themeColor="text1" w:themeTint="F2"/>
          <w:lang w:val="en-US" w:eastAsia="zh-CN"/>
          <w14:textFill>
            <w14:solidFill>
              <w14:schemeClr w14:val="tx1">
                <w14:lumMod w14:val="95000"/>
                <w14:lumOff w14:val="5000"/>
              </w14:schemeClr>
            </w14:solidFill>
          </w14:textFill>
        </w:rPr>
      </w:pP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Cs w:val="21"/>
                <w14:textFill>
                  <w14:solidFill>
                    <w14:schemeClr w14:val="tx1">
                      <w14:lumMod w14:val="95000"/>
                      <w14:lumOff w14:val="5000"/>
                    </w14:schemeClr>
                  </w14:solidFill>
                </w14:textFill>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Cs w:val="21"/>
                <w14:textFill>
                  <w14:solidFill>
                    <w14:schemeClr w14:val="tx1">
                      <w14:lumMod w14:val="95000"/>
                      <w14:lumOff w14:val="5000"/>
                    </w14:schemeClr>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Cs w:val="21"/>
                <w14:textFill>
                  <w14:solidFill>
                    <w14:schemeClr w14:val="tx1">
                      <w14:lumMod w14:val="95000"/>
                      <w14:lumOff w14:val="5000"/>
                    </w14:schemeClr>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lang w:val="en-US" w:eastAsia="zh-CN"/>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Cs w:val="21"/>
                <w14:textFill>
                  <w14:solidFill>
                    <w14:schemeClr w14:val="tx1">
                      <w14:lumMod w14:val="95000"/>
                      <w14:lumOff w14:val="5000"/>
                    </w14:schemeClr>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D0D0D" w:themeColor="text1" w:themeTint="F2"/>
                <w:kern w:val="0"/>
                <w:szCs w:val="21"/>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Cs w:val="21"/>
                <w14:textFill>
                  <w14:solidFill>
                    <w14:schemeClr w14:val="tx1">
                      <w14:lumMod w14:val="95000"/>
                      <w14:lumOff w14:val="5000"/>
                    </w14:schemeClr>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pPr>
            <w:r>
              <w:rPr>
                <w:rFonts w:hint="eastAsia" w:ascii="仿宋_GB2312" w:hAnsi="Calibri" w:eastAsia="仿宋_GB2312" w:cs="Calibri"/>
                <w:color w:val="0D0D0D" w:themeColor="text1" w:themeTint="F2"/>
                <w:kern w:val="0"/>
                <w:szCs w:val="21"/>
                <w:lang w:val="en-US" w:eastAsia="zh-CN"/>
                <w14:textFill>
                  <w14:solidFill>
                    <w14:schemeClr w14:val="tx1">
                      <w14:lumMod w14:val="95000"/>
                      <w14:lumOff w14:val="5000"/>
                    </w14:schemeClr>
                  </w14:solidFill>
                </w14:textFill>
              </w:rPr>
              <w:t>0</w:t>
            </w:r>
          </w:p>
        </w:tc>
      </w:tr>
    </w:tbl>
    <w:p>
      <w:pPr>
        <w:pStyle w:val="2"/>
        <w:ind w:left="0" w:leftChars="0" w:firstLine="0" w:firstLineChars="0"/>
        <w:rPr>
          <w:rFonts w:hint="eastAsia"/>
          <w:color w:val="0D0D0D" w:themeColor="text1" w:themeTint="F2"/>
          <w:lang w:val="en-US" w:eastAsia="zh-CN"/>
          <w14:textFill>
            <w14:solidFill>
              <w14:schemeClr w14:val="tx1">
                <w14:lumMod w14:val="95000"/>
                <w14:lumOff w14:val="5000"/>
              </w14:schemeClr>
            </w14:solidFill>
          </w14:textFill>
        </w:rPr>
      </w:pPr>
    </w:p>
    <w:p>
      <w:pPr>
        <w:pStyle w:val="4"/>
        <w:numPr>
          <w:ilvl w:val="0"/>
          <w:numId w:val="2"/>
        </w:numPr>
        <w:spacing w:before="0" w:after="0" w:line="240" w:lineRule="auto"/>
        <w:ind w:firstLine="643" w:firstLineChars="200"/>
        <w:rPr>
          <w:rFonts w:ascii="楷体_GB2312" w:eastAsia="楷体_GB2312"/>
          <w:color w:val="0D0D0D" w:themeColor="text1" w:themeTint="F2"/>
          <w14:textFill>
            <w14:solidFill>
              <w14:schemeClr w14:val="tx1">
                <w14:lumMod w14:val="95000"/>
                <w14:lumOff w14:val="5000"/>
              </w14:schemeClr>
            </w14:solidFill>
          </w14:textFill>
        </w:rPr>
      </w:pPr>
      <w:r>
        <w:rPr>
          <w:rFonts w:hint="eastAsia" w:ascii="楷体_GB2312" w:eastAsia="楷体_GB2312"/>
          <w:color w:val="0D0D0D" w:themeColor="text1" w:themeTint="F2"/>
          <w14:textFill>
            <w14:solidFill>
              <w14:schemeClr w14:val="tx1">
                <w14:lumMod w14:val="95000"/>
                <w14:lumOff w14:val="5000"/>
              </w14:schemeClr>
            </w14:solidFill>
          </w14:textFill>
        </w:rPr>
        <w:t>行</w:t>
      </w:r>
      <w:r>
        <w:rPr>
          <w:rFonts w:ascii="楷体_GB2312" w:eastAsia="楷体_GB2312"/>
          <w:color w:val="0D0D0D" w:themeColor="text1" w:themeTint="F2"/>
          <w14:textFill>
            <w14:solidFill>
              <w14:schemeClr w14:val="tx1">
                <w14:lumMod w14:val="95000"/>
                <w14:lumOff w14:val="5000"/>
              </w14:schemeClr>
            </w14:solidFill>
          </w14:textFill>
        </w:rPr>
        <w:t>政机关收到和处理政府信息公开申请情况</w:t>
      </w:r>
    </w:p>
    <w:p>
      <w:pPr>
        <w:numPr>
          <w:ilvl w:val="0"/>
          <w:numId w:val="0"/>
        </w:num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tbl>
      <w:tblPr>
        <w:tblStyle w:val="7"/>
        <w:tblW w:w="85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5"/>
        <w:gridCol w:w="1266"/>
        <w:gridCol w:w="2852"/>
        <w:gridCol w:w="627"/>
        <w:gridCol w:w="486"/>
        <w:gridCol w:w="486"/>
        <w:gridCol w:w="627"/>
        <w:gridCol w:w="608"/>
        <w:gridCol w:w="497"/>
        <w:gridCol w:w="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447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Times New Roman" w:eastAsia="仿宋_GB2312"/>
                <w:color w:val="0D0D0D" w:themeColor="text1" w:themeTint="F2"/>
                <w:szCs w:val="21"/>
                <w14:textFill>
                  <w14:solidFill>
                    <w14:schemeClr w14:val="tx1">
                      <w14:lumMod w14:val="95000"/>
                      <w14:lumOff w14:val="5000"/>
                    </w14:schemeClr>
                  </w14:solidFill>
                </w14:textFill>
              </w:rPr>
            </w:pPr>
            <w:r>
              <w:rPr>
                <w:rFonts w:hint="eastAsia" w:ascii="楷体_GB2312" w:hAnsi="黑体" w:eastAsia="楷体_GB2312"/>
                <w:color w:val="0D0D0D" w:themeColor="text1" w:themeTint="F2"/>
                <w:kern w:val="0"/>
                <w:szCs w:val="21"/>
                <w14:textFill>
                  <w14:solidFill>
                    <w14:schemeClr w14:val="tx1">
                      <w14:lumMod w14:val="95000"/>
                      <w14:lumOff w14:val="5000"/>
                    </w14:schemeClr>
                  </w14:solidFill>
                </w14:textFill>
              </w:rPr>
              <w:t>（本列数据的勾稽关系为：第一项加第二项之和，等于第三项加第四项之和）</w:t>
            </w:r>
          </w:p>
        </w:tc>
        <w:tc>
          <w:tcPr>
            <w:tcW w:w="4066"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4473" w:type="dxa"/>
            <w:gridSpan w:val="3"/>
            <w:vMerge w:val="continue"/>
            <w:shd w:val="clear" w:color="auto" w:fill="auto"/>
            <w:tcMar>
              <w:left w:w="108" w:type="dxa"/>
              <w:right w:w="108" w:type="dxa"/>
            </w:tcMar>
            <w:vAlign w:val="center"/>
          </w:tcPr>
          <w:p>
            <w:pPr>
              <w:jc w:val="center"/>
              <w:rPr>
                <w:rFonts w:ascii="仿宋_GB2312" w:hAnsi="Times New Roman" w:eastAsia="仿宋_GB2312"/>
                <w:color w:val="0D0D0D" w:themeColor="text1" w:themeTint="F2"/>
                <w:szCs w:val="21"/>
                <w14:textFill>
                  <w14:solidFill>
                    <w14:schemeClr w14:val="tx1">
                      <w14:lumMod w14:val="95000"/>
                      <w14:lumOff w14:val="5000"/>
                    </w14:schemeClr>
                  </w14:solidFill>
                </w14:textFill>
              </w:rPr>
            </w:pPr>
          </w:p>
        </w:tc>
        <w:tc>
          <w:tcPr>
            <w:tcW w:w="627" w:type="dxa"/>
            <w:vMerge w:val="restart"/>
            <w:shd w:val="clear" w:color="auto" w:fill="auto"/>
            <w:tcMar>
              <w:left w:w="108" w:type="dxa"/>
              <w:right w:w="108" w:type="dxa"/>
            </w:tcMar>
            <w:vAlign w:val="center"/>
          </w:tcPr>
          <w:p>
            <w:pPr>
              <w:widowControl/>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自然人</w:t>
            </w:r>
          </w:p>
        </w:tc>
        <w:tc>
          <w:tcPr>
            <w:tcW w:w="2704"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法人或其他组织</w:t>
            </w:r>
          </w:p>
        </w:tc>
        <w:tc>
          <w:tcPr>
            <w:tcW w:w="735" w:type="dxa"/>
            <w:vMerge w:val="restart"/>
            <w:shd w:val="clear" w:color="auto" w:fill="auto"/>
            <w:tcMar>
              <w:left w:w="108" w:type="dxa"/>
              <w:right w:w="108" w:type="dxa"/>
            </w:tcMar>
            <w:vAlign w:val="center"/>
          </w:tcPr>
          <w:p>
            <w:pPr>
              <w:widowControl/>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4473" w:type="dxa"/>
            <w:gridSpan w:val="3"/>
            <w:vMerge w:val="continue"/>
            <w:shd w:val="clear" w:color="auto" w:fill="auto"/>
            <w:tcMar>
              <w:left w:w="108" w:type="dxa"/>
              <w:right w:w="108" w:type="dxa"/>
            </w:tcMar>
            <w:vAlign w:val="center"/>
          </w:tcPr>
          <w:p>
            <w:pPr>
              <w:jc w:val="center"/>
              <w:rPr>
                <w:rFonts w:ascii="仿宋_GB2312" w:hAnsi="Times New Roman" w:eastAsia="仿宋_GB2312"/>
                <w:color w:val="0D0D0D" w:themeColor="text1" w:themeTint="F2"/>
                <w:szCs w:val="21"/>
                <w14:textFill>
                  <w14:solidFill>
                    <w14:schemeClr w14:val="tx1">
                      <w14:lumMod w14:val="95000"/>
                      <w14:lumOff w14:val="5000"/>
                    </w14:schemeClr>
                  </w14:solidFill>
                </w14:textFill>
              </w:rPr>
            </w:pPr>
          </w:p>
        </w:tc>
        <w:tc>
          <w:tcPr>
            <w:tcW w:w="627" w:type="dxa"/>
            <w:vMerge w:val="continue"/>
            <w:shd w:val="clear" w:color="auto" w:fill="auto"/>
            <w:tcMar>
              <w:left w:w="108" w:type="dxa"/>
              <w:right w:w="108" w:type="dxa"/>
            </w:tcMar>
            <w:vAlign w:val="center"/>
          </w:tcPr>
          <w:p>
            <w:pPr>
              <w:jc w:val="cente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486"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商业企业</w:t>
            </w:r>
          </w:p>
        </w:tc>
        <w:tc>
          <w:tcPr>
            <w:tcW w:w="486"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科研机构</w:t>
            </w:r>
          </w:p>
        </w:tc>
        <w:tc>
          <w:tcPr>
            <w:tcW w:w="62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社会公益组织</w:t>
            </w:r>
          </w:p>
        </w:tc>
        <w:tc>
          <w:tcPr>
            <w:tcW w:w="6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法律服务机构</w:t>
            </w:r>
          </w:p>
        </w:tc>
        <w:tc>
          <w:tcPr>
            <w:tcW w:w="49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其他</w:t>
            </w:r>
          </w:p>
        </w:tc>
        <w:tc>
          <w:tcPr>
            <w:tcW w:w="735" w:type="dxa"/>
            <w:vMerge w:val="continue"/>
            <w:shd w:val="clear" w:color="auto" w:fill="auto"/>
            <w:tcMar>
              <w:left w:w="108" w:type="dxa"/>
              <w:right w:w="108" w:type="dxa"/>
            </w:tcMar>
            <w:vAlign w:val="center"/>
          </w:tcPr>
          <w:p>
            <w:pPr>
              <w:jc w:val="center"/>
              <w:rPr>
                <w:rFonts w:ascii="仿宋_GB2312" w:hAnsi="Times New Roman" w:eastAsia="仿宋_GB2312"/>
                <w:color w:val="0D0D0D" w:themeColor="text1" w:themeTint="F2"/>
                <w:szCs w:val="21"/>
                <w14:textFill>
                  <w14:solidFill>
                    <w14:schemeClr w14:val="tx1">
                      <w14:lumMod w14:val="95000"/>
                      <w14:lumOff w14:val="5000"/>
                    </w14:schemeClr>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473" w:type="dxa"/>
            <w:gridSpan w:val="3"/>
            <w:shd w:val="clear" w:color="auto" w:fill="auto"/>
            <w:tcMar>
              <w:left w:w="108" w:type="dxa"/>
              <w:right w:w="108" w:type="dxa"/>
            </w:tcMar>
            <w:vAlign w:val="center"/>
          </w:tcPr>
          <w:p>
            <w:pPr>
              <w:widowControl/>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一、</w:t>
            </w:r>
            <w:bookmarkStart w:id="0" w:name="_Hlk66973412"/>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本年新收政府信息公开申请数量</w:t>
            </w:r>
            <w:bookmarkEnd w:id="0"/>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473" w:type="dxa"/>
            <w:gridSpan w:val="3"/>
            <w:shd w:val="clear" w:color="auto" w:fill="auto"/>
            <w:tcMar>
              <w:left w:w="108" w:type="dxa"/>
              <w:right w:w="108" w:type="dxa"/>
            </w:tcMar>
            <w:vAlign w:val="center"/>
          </w:tcPr>
          <w:p>
            <w:pPr>
              <w:widowControl/>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二、上年结转政府信息公开申请数量</w:t>
            </w:r>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355" w:type="dxa"/>
            <w:vMerge w:val="restart"/>
            <w:shd w:val="clear" w:color="auto" w:fill="auto"/>
            <w:tcMar>
              <w:left w:w="108" w:type="dxa"/>
              <w:right w:w="108" w:type="dxa"/>
            </w:tcMar>
            <w:vAlign w:val="center"/>
          </w:tcPr>
          <w:p>
            <w:pPr>
              <w:widowControl/>
              <w:spacing w:after="180"/>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三、本年度办理结果</w:t>
            </w:r>
          </w:p>
        </w:tc>
        <w:tc>
          <w:tcPr>
            <w:tcW w:w="4118"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（一）予以公开</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4118"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（二）部分公开（</w:t>
            </w:r>
            <w:bookmarkStart w:id="1" w:name="_Hlk66973981"/>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区分处理的，只计这一情形，不计其他情形</w:t>
            </w:r>
            <w:bookmarkEnd w:id="1"/>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left="-107" w:leftChars="-51"/>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（三）不予公开</w:t>
            </w: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1.属于国家秘密</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2.</w:t>
            </w:r>
            <w:bookmarkStart w:id="2" w:name="_Hlk66974104"/>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其他法律行政法规禁止公开</w:t>
            </w:r>
            <w:bookmarkEnd w:id="2"/>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3.危及“三安全一稳定”</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4.</w:t>
            </w:r>
            <w:bookmarkStart w:id="3" w:name="_Hlk66974290"/>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保护第三方合法权益</w:t>
            </w:r>
            <w:bookmarkEnd w:id="3"/>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5.属于三类内部事务信息</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6.</w:t>
            </w:r>
            <w:bookmarkStart w:id="4" w:name="_Hlk66974555"/>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属于四类过程性信息</w:t>
            </w:r>
            <w:bookmarkEnd w:id="4"/>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7.属于行政执法案卷</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8.</w:t>
            </w:r>
            <w:bookmarkStart w:id="5" w:name="_Hlk66975211"/>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属于行政查询事项</w:t>
            </w:r>
            <w:bookmarkEnd w:id="5"/>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5"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left="-107" w:leftChars="-51"/>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（四）无法提供</w:t>
            </w: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1.本机关不掌握相关政府信息</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left="-107" w:leftChars="-51"/>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2.</w:t>
            </w:r>
            <w:bookmarkStart w:id="6" w:name="_Hlk66975392"/>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没有现成信息需要另行制作</w:t>
            </w:r>
            <w:bookmarkEnd w:id="6"/>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0"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left="-107" w:leftChars="-51"/>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3.</w:t>
            </w:r>
            <w:bookmarkStart w:id="7" w:name="_Hlk66975466"/>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补正后申请内容仍不明确</w:t>
            </w:r>
            <w:bookmarkEnd w:id="7"/>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ind w:left="-107" w:leftChars="-51"/>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（五）不予处理</w:t>
            </w: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1.</w:t>
            </w:r>
            <w:bookmarkStart w:id="8" w:name="_Hlk66975537"/>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信访举报投诉类申请</w:t>
            </w:r>
            <w:bookmarkEnd w:id="8"/>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2.重复申请</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3.要求提供公开出版物</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exac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4.无正当理由大量反复申请</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2852"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szCs w:val="21"/>
                <w14:textFill>
                  <w14:solidFill>
                    <w14:schemeClr w14:val="tx1">
                      <w14:lumMod w14:val="95000"/>
                      <w14:lumOff w14:val="5000"/>
                    </w14:schemeClr>
                  </w14:solidFill>
                </w14:textFill>
              </w:rPr>
            </w:pPr>
            <w:r>
              <w:rPr>
                <w:rFonts w:hint="eastAsia" w:ascii="仿宋_GB2312" w:hAnsi="黑体" w:eastAsia="仿宋_GB2312"/>
                <w:color w:val="0D0D0D" w:themeColor="text1" w:themeTint="F2"/>
                <w:kern w:val="0"/>
                <w:szCs w:val="21"/>
                <w14:textFill>
                  <w14:solidFill>
                    <w14:schemeClr w14:val="tx1">
                      <w14:lumMod w14:val="95000"/>
                      <w14:lumOff w14:val="5000"/>
                    </w14:schemeClr>
                  </w14:solidFill>
                </w14:textFill>
              </w:rPr>
              <w:t>5.要求行政机关确认或重新出具已获取信息</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黑体" w:hAnsi="黑体" w:eastAsia="黑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（六）其他处理</w:t>
            </w:r>
          </w:p>
        </w:tc>
        <w:tc>
          <w:tcPr>
            <w:tcW w:w="28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楷体" w:eastAsia="仿宋_GB2312"/>
                <w:color w:val="0D0D0D" w:themeColor="text1" w:themeTint="F2"/>
                <w14:textFill>
                  <w14:solidFill>
                    <w14:schemeClr w14:val="tx1">
                      <w14:lumMod w14:val="95000"/>
                      <w14:lumOff w14:val="5000"/>
                    </w14:schemeClr>
                  </w14:solidFill>
                </w14:textFill>
              </w:rPr>
            </w:pPr>
            <w:r>
              <w:rPr>
                <w:rFonts w:hint="eastAsia" w:ascii="仿宋_GB2312" w:hAnsi="楷体" w:eastAsia="仿宋_GB2312"/>
                <w:color w:val="0D0D0D" w:themeColor="text1" w:themeTint="F2"/>
                <w14:textFill>
                  <w14:solidFill>
                    <w14:schemeClr w14:val="tx1">
                      <w14:lumMod w14:val="95000"/>
                      <w14:lumOff w14:val="5000"/>
                    </w14:schemeClr>
                  </w14:solidFill>
                </w14:textFill>
              </w:rPr>
              <w:t>1.申请人无正当理由逾期不补正、行政机关不再处理其政府信息公开申请</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黑体" w:hAnsi="黑体" w:eastAsia="黑体"/>
                <w:color w:val="0D0D0D" w:themeColor="text1" w:themeTint="F2"/>
                <w:kern w:val="0"/>
                <w:szCs w:val="21"/>
                <w14:textFill>
                  <w14:solidFill>
                    <w14:schemeClr w14:val="tx1">
                      <w14:lumMod w14:val="95000"/>
                      <w14:lumOff w14:val="5000"/>
                    </w14:schemeClr>
                  </w14:solidFill>
                </w14:textFill>
              </w:rPr>
            </w:pPr>
          </w:p>
        </w:tc>
        <w:tc>
          <w:tcPr>
            <w:tcW w:w="28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楷体" w:eastAsia="仿宋_GB2312"/>
                <w:color w:val="0D0D0D" w:themeColor="text1" w:themeTint="F2"/>
                <w14:textFill>
                  <w14:solidFill>
                    <w14:schemeClr w14:val="tx1">
                      <w14:lumMod w14:val="95000"/>
                      <w14:lumOff w14:val="5000"/>
                    </w14:schemeClr>
                  </w14:solidFill>
                </w14:textFill>
              </w:rPr>
              <w:t>2.申请人逾期未按收费通知要求缴纳费用、行政机关不再处理其政府信息公开申请</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126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黑体" w:hAnsi="黑体" w:eastAsia="黑体"/>
                <w:color w:val="0D0D0D" w:themeColor="text1" w:themeTint="F2"/>
                <w:kern w:val="0"/>
                <w:szCs w:val="21"/>
                <w14:textFill>
                  <w14:solidFill>
                    <w14:schemeClr w14:val="tx1">
                      <w14:lumMod w14:val="95000"/>
                      <w14:lumOff w14:val="5000"/>
                    </w14:schemeClr>
                  </w14:solidFill>
                </w14:textFill>
              </w:rPr>
            </w:pPr>
          </w:p>
        </w:tc>
        <w:tc>
          <w:tcPr>
            <w:tcW w:w="28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olor w:val="0D0D0D" w:themeColor="text1" w:themeTint="F2"/>
                <w:kern w:val="0"/>
                <w:szCs w:val="21"/>
                <w14:textFill>
                  <w14:solidFill>
                    <w14:schemeClr w14:val="tx1">
                      <w14:lumMod w14:val="95000"/>
                      <w14:lumOff w14:val="5000"/>
                    </w14:schemeClr>
                  </w14:solidFill>
                </w14:textFill>
              </w:rPr>
            </w:pPr>
            <w:r>
              <w:rPr>
                <w:rFonts w:hint="eastAsia" w:ascii="仿宋_GB2312" w:hAnsi="楷体" w:eastAsia="仿宋_GB2312"/>
                <w:color w:val="0D0D0D" w:themeColor="text1" w:themeTint="F2"/>
                <w14:textFill>
                  <w14:solidFill>
                    <w14:schemeClr w14:val="tx1">
                      <w14:lumMod w14:val="95000"/>
                      <w14:lumOff w14:val="5000"/>
                    </w14:schemeClr>
                  </w14:solidFill>
                </w14:textFill>
              </w:rPr>
              <w:t>3.其他</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355" w:type="dxa"/>
            <w:vMerge w:val="continue"/>
            <w:shd w:val="clear" w:color="auto" w:fill="auto"/>
            <w:tcMar>
              <w:left w:w="108" w:type="dxa"/>
              <w:right w:w="108" w:type="dxa"/>
            </w:tcMar>
            <w:vAlign w:val="center"/>
          </w:tcPr>
          <w:p>
            <w:pPr>
              <w:rPr>
                <w:rFonts w:ascii="黑体" w:hAnsi="黑体" w:eastAsia="黑体"/>
                <w:color w:val="0D0D0D" w:themeColor="text1" w:themeTint="F2"/>
                <w:szCs w:val="21"/>
                <w14:textFill>
                  <w14:solidFill>
                    <w14:schemeClr w14:val="tx1">
                      <w14:lumMod w14:val="95000"/>
                      <w14:lumOff w14:val="5000"/>
                    </w14:schemeClr>
                  </w14:solidFill>
                </w14:textFill>
              </w:rPr>
            </w:pPr>
          </w:p>
        </w:tc>
        <w:tc>
          <w:tcPr>
            <w:tcW w:w="4118" w:type="dxa"/>
            <w:gridSpan w:val="2"/>
            <w:shd w:val="clear" w:color="auto" w:fill="auto"/>
            <w:tcMar>
              <w:left w:w="108" w:type="dxa"/>
              <w:right w:w="108" w:type="dxa"/>
            </w:tcMar>
            <w:vAlign w:val="center"/>
          </w:tcPr>
          <w:p>
            <w:pPr>
              <w:widowControl/>
              <w:spacing w:line="300" w:lineRule="exact"/>
              <w:rPr>
                <w:rFonts w:ascii="黑体" w:hAnsi="黑体" w:eastAsia="黑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（七）总计</w:t>
            </w:r>
          </w:p>
        </w:tc>
        <w:tc>
          <w:tcPr>
            <w:tcW w:w="62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73" w:type="dxa"/>
            <w:gridSpan w:val="3"/>
            <w:shd w:val="clear" w:color="auto" w:fill="auto"/>
            <w:tcMar>
              <w:left w:w="108" w:type="dxa"/>
              <w:right w:w="108" w:type="dxa"/>
            </w:tcMar>
            <w:vAlign w:val="center"/>
          </w:tcPr>
          <w:p>
            <w:pPr>
              <w:widowControl/>
              <w:spacing w:line="300" w:lineRule="exact"/>
              <w:rPr>
                <w:rFonts w:ascii="黑体" w:hAnsi="黑体" w:eastAsia="黑体"/>
                <w:color w:val="0D0D0D" w:themeColor="text1" w:themeTint="F2"/>
                <w:kern w:val="0"/>
                <w:szCs w:val="21"/>
                <w14:textFill>
                  <w14:solidFill>
                    <w14:schemeClr w14:val="tx1">
                      <w14:lumMod w14:val="95000"/>
                      <w14:lumOff w14:val="5000"/>
                    </w14:schemeClr>
                  </w14:solidFill>
                </w14:textFill>
              </w:rPr>
            </w:pPr>
            <w:r>
              <w:rPr>
                <w:rFonts w:hint="eastAsia" w:ascii="黑体" w:hAnsi="黑体" w:eastAsia="黑体"/>
                <w:color w:val="0D0D0D" w:themeColor="text1" w:themeTint="F2"/>
                <w:kern w:val="0"/>
                <w:szCs w:val="21"/>
                <w14:textFill>
                  <w14:solidFill>
                    <w14:schemeClr w14:val="tx1">
                      <w14:lumMod w14:val="95000"/>
                      <w14:lumOff w14:val="5000"/>
                    </w14:schemeClr>
                  </w14:solidFill>
                </w14:textFill>
              </w:rPr>
              <w:t>四、结转下年度继续办理</w:t>
            </w:r>
          </w:p>
        </w:tc>
        <w:tc>
          <w:tcPr>
            <w:tcW w:w="62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2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6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49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c>
          <w:tcPr>
            <w:tcW w:w="7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pPr>
            <w:r>
              <w:rPr>
                <w:rFonts w:hint="eastAsia" w:ascii="仿宋_GB2312" w:hAnsi="Times New Roman" w:eastAsia="仿宋_GB2312"/>
                <w:color w:val="0D0D0D" w:themeColor="text1" w:themeTint="F2"/>
                <w:szCs w:val="21"/>
                <w:lang w:val="en-US" w:eastAsia="zh-CN"/>
                <w14:textFill>
                  <w14:solidFill>
                    <w14:schemeClr w14:val="tx1">
                      <w14:lumMod w14:val="95000"/>
                      <w14:lumOff w14:val="5000"/>
                    </w14:schemeClr>
                  </w14:solidFill>
                </w14:textFill>
              </w:rPr>
              <w:t>0</w:t>
            </w:r>
          </w:p>
        </w:tc>
      </w:tr>
    </w:tbl>
    <w:p>
      <w:pPr>
        <w:keepNext w:val="0"/>
        <w:keepLines w:val="0"/>
        <w:pageBreakBefore w:val="0"/>
        <w:widowControl w:val="0"/>
        <w:numPr>
          <w:numId w:val="0"/>
        </w:numPr>
        <w:kinsoku/>
        <w:wordWrap/>
        <w:overflowPunct/>
        <w:topLinePunct w:val="0"/>
        <w:autoSpaceDE/>
        <w:autoSpaceDN/>
        <w:bidi w:val="0"/>
        <w:adjustRightInd w:val="0"/>
        <w:snapToGrid w:val="0"/>
        <w:spacing w:before="0" w:after="0" w:line="240" w:lineRule="auto"/>
        <w:textAlignment w:val="auto"/>
        <w:outlineLvl w:val="9"/>
        <w:rPr>
          <w:rFonts w:ascii="楷体_GB2312" w:eastAsia="楷体_GB2312" w:hAnsiTheme="majorHAnsi" w:cstheme="majorBidi"/>
          <w:b/>
          <w:bCs/>
          <w:color w:val="0D0D0D" w:themeColor="text1" w:themeTint="F2"/>
          <w:kern w:val="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0" w:after="0" w:line="240" w:lineRule="auto"/>
        <w:textAlignment w:val="auto"/>
        <w:outlineLvl w:val="9"/>
        <w:rPr>
          <w:rFonts w:ascii="楷体_GB2312" w:eastAsia="楷体_GB2312" w:hAnsiTheme="majorHAnsi" w:cstheme="majorBidi"/>
          <w:b/>
          <w:bCs/>
          <w:color w:val="0D0D0D" w:themeColor="text1" w:themeTint="F2"/>
          <w:kern w:val="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0" w:after="0" w:line="240" w:lineRule="auto"/>
        <w:ind w:firstLine="643" w:firstLineChars="200"/>
        <w:textAlignment w:val="auto"/>
        <w:outlineLvl w:val="9"/>
        <w:rPr>
          <w:rFonts w:ascii="楷体_GB2312" w:eastAsia="楷体_GB2312" w:hAnsiTheme="majorHAnsi" w:cstheme="majorBidi"/>
          <w:b/>
          <w:bCs/>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楷体_GB2312" w:eastAsia="楷体_GB2312" w:hAnsiTheme="majorHAnsi" w:cstheme="majorBidi"/>
          <w:b/>
          <w:bCs/>
          <w:color w:val="0D0D0D" w:themeColor="text1" w:themeTint="F2"/>
          <w:kern w:val="2"/>
          <w:sz w:val="32"/>
          <w:szCs w:val="32"/>
          <w:lang w:val="en-US" w:eastAsia="zh-CN"/>
          <w14:textFill>
            <w14:solidFill>
              <w14:schemeClr w14:val="tx1">
                <w14:lumMod w14:val="95000"/>
                <w14:lumOff w14:val="5000"/>
              </w14:schemeClr>
            </w14:solidFill>
          </w14:textFill>
        </w:rPr>
        <w:t>四、</w:t>
      </w:r>
      <w:r>
        <w:rPr>
          <w:rFonts w:ascii="楷体_GB2312" w:eastAsia="楷体_GB2312" w:hAnsiTheme="majorHAnsi" w:cstheme="majorBidi"/>
          <w:b/>
          <w:bCs/>
          <w:color w:val="0D0D0D" w:themeColor="text1" w:themeTint="F2"/>
          <w:kern w:val="2"/>
          <w:sz w:val="32"/>
          <w:szCs w:val="32"/>
          <w:lang w:val="en-US" w:eastAsia="zh-CN"/>
          <w14:textFill>
            <w14:solidFill>
              <w14:schemeClr w14:val="tx1">
                <w14:lumMod w14:val="95000"/>
                <w14:lumOff w14:val="5000"/>
              </w14:schemeClr>
            </w14:solidFill>
          </w14:textFill>
        </w:rPr>
        <w:t>因政府信息公开工作被申请行政复议、提起行政诉讼情况</w:t>
      </w:r>
    </w:p>
    <w:tbl>
      <w:tblPr>
        <w:tblStyle w:val="7"/>
        <w:tblW w:w="84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5"/>
        <w:gridCol w:w="565"/>
        <w:gridCol w:w="565"/>
        <w:gridCol w:w="565"/>
        <w:gridCol w:w="620"/>
        <w:gridCol w:w="514"/>
        <w:gridCol w:w="566"/>
        <w:gridCol w:w="566"/>
        <w:gridCol w:w="566"/>
        <w:gridCol w:w="571"/>
        <w:gridCol w:w="566"/>
        <w:gridCol w:w="566"/>
        <w:gridCol w:w="566"/>
        <w:gridCol w:w="567"/>
        <w:gridCol w:w="5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288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行政复议</w:t>
            </w:r>
          </w:p>
        </w:tc>
        <w:tc>
          <w:tcPr>
            <w:tcW w:w="5619"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56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w:t>
            </w:r>
          </w:p>
          <w:p>
            <w:pPr>
              <w:widowControl/>
              <w:ind w:left="-149" w:leftChars="-71" w:right="-170" w:rightChars="-81"/>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维持</w:t>
            </w:r>
          </w:p>
        </w:tc>
        <w:tc>
          <w:tcPr>
            <w:tcW w:w="56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结果纠正</w:t>
            </w:r>
          </w:p>
        </w:tc>
        <w:tc>
          <w:tcPr>
            <w:tcW w:w="56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其他结果</w:t>
            </w:r>
          </w:p>
        </w:tc>
        <w:tc>
          <w:tcPr>
            <w:tcW w:w="56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尚未</w:t>
            </w:r>
          </w:p>
          <w:p>
            <w:pPr>
              <w:widowControl/>
              <w:ind w:left="-118" w:leftChars="-56" w:right="-118" w:rightChars="-56"/>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审结</w:t>
            </w:r>
          </w:p>
        </w:tc>
        <w:tc>
          <w:tcPr>
            <w:tcW w:w="62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总</w:t>
            </w:r>
          </w:p>
          <w:p>
            <w:pPr>
              <w:widowControl/>
              <w:spacing w:line="320" w:lineRule="exact"/>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计</w:t>
            </w:r>
          </w:p>
        </w:tc>
        <w:tc>
          <w:tcPr>
            <w:tcW w:w="278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未经复议直接起诉</w:t>
            </w:r>
          </w:p>
        </w:tc>
        <w:tc>
          <w:tcPr>
            <w:tcW w:w="283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bookmarkStart w:id="9" w:name="_Hlk67039688"/>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3" w:hRule="atLeast"/>
          <w:jc w:val="center"/>
        </w:trPr>
        <w:tc>
          <w:tcPr>
            <w:tcW w:w="56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D0D0D" w:themeColor="text1" w:themeTint="F2"/>
                <w:sz w:val="24"/>
                <w14:textFill>
                  <w14:solidFill>
                    <w14:schemeClr w14:val="tx1">
                      <w14:lumMod w14:val="95000"/>
                      <w14:lumOff w14:val="5000"/>
                    </w14:schemeClr>
                  </w14:solidFill>
                </w14:textFill>
              </w:rPr>
            </w:pPr>
          </w:p>
        </w:tc>
        <w:tc>
          <w:tcPr>
            <w:tcW w:w="56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D0D0D" w:themeColor="text1" w:themeTint="F2"/>
                <w:sz w:val="24"/>
                <w14:textFill>
                  <w14:solidFill>
                    <w14:schemeClr w14:val="tx1">
                      <w14:lumMod w14:val="95000"/>
                      <w14:lumOff w14:val="5000"/>
                    </w14:schemeClr>
                  </w14:solidFill>
                </w14:textFill>
              </w:rPr>
            </w:pPr>
          </w:p>
        </w:tc>
        <w:tc>
          <w:tcPr>
            <w:tcW w:w="5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D0D0D" w:themeColor="text1" w:themeTint="F2"/>
                <w:sz w:val="24"/>
                <w14:textFill>
                  <w14:solidFill>
                    <w14:schemeClr w14:val="tx1">
                      <w14:lumMod w14:val="95000"/>
                      <w14:lumOff w14:val="5000"/>
                    </w14:schemeClr>
                  </w14:solidFill>
                </w14:textFill>
              </w:rPr>
            </w:pPr>
          </w:p>
        </w:tc>
        <w:tc>
          <w:tcPr>
            <w:tcW w:w="5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D0D0D" w:themeColor="text1" w:themeTint="F2"/>
                <w:sz w:val="24"/>
                <w14:textFill>
                  <w14:solidFill>
                    <w14:schemeClr w14:val="tx1">
                      <w14:lumMod w14:val="95000"/>
                      <w14:lumOff w14:val="5000"/>
                    </w14:schemeClr>
                  </w14:solidFill>
                </w14:textFill>
              </w:rPr>
            </w:pPr>
          </w:p>
        </w:tc>
        <w:tc>
          <w:tcPr>
            <w:tcW w:w="62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D0D0D" w:themeColor="text1" w:themeTint="F2"/>
                <w:sz w:val="24"/>
                <w14:textFill>
                  <w14:solidFill>
                    <w14:schemeClr w14:val="tx1">
                      <w14:lumMod w14:val="95000"/>
                      <w14:lumOff w14:val="5000"/>
                    </w14:schemeClr>
                  </w14:solidFill>
                </w14:textFill>
              </w:rPr>
            </w:pPr>
          </w:p>
        </w:tc>
        <w:tc>
          <w:tcPr>
            <w:tcW w:w="5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结果维持</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结果纠正</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其他</w:t>
            </w:r>
          </w:p>
          <w:p>
            <w:pPr>
              <w:widowControl/>
              <w:ind w:left="-126" w:leftChars="-60" w:right="-136" w:rightChars="-65"/>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尚未</w:t>
            </w:r>
          </w:p>
          <w:p>
            <w:pPr>
              <w:widowControl/>
              <w:ind w:left="-164" w:leftChars="-78" w:right="-153" w:rightChars="-73"/>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审结</w:t>
            </w:r>
          </w:p>
        </w:tc>
        <w:tc>
          <w:tcPr>
            <w:tcW w:w="5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总计</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结果维持</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w:t>
            </w:r>
          </w:p>
          <w:p>
            <w:pPr>
              <w:widowControl/>
              <w:ind w:left="-136" w:leftChars="-65" w:right="-124" w:rightChars="-59"/>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纠正</w:t>
            </w:r>
          </w:p>
        </w:tc>
        <w:tc>
          <w:tcPr>
            <w:tcW w:w="5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0D0D0D" w:themeColor="text1" w:themeTint="F2"/>
                <w:kern w:val="0"/>
                <w:sz w:val="20"/>
                <w:szCs w:val="20"/>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其他</w:t>
            </w:r>
          </w:p>
          <w:p>
            <w:pPr>
              <w:widowControl/>
              <w:ind w:left="-173" w:leftChars="-83" w:right="-134" w:rightChars="-64" w:hanging="1"/>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尚未审结</w:t>
            </w:r>
          </w:p>
        </w:tc>
        <w:tc>
          <w:tcPr>
            <w:tcW w:w="5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D0D0D" w:themeColor="text1" w:themeTint="F2"/>
                <w14:textFill>
                  <w14:solidFill>
                    <w14:schemeClr w14:val="tx1">
                      <w14:lumMod w14:val="95000"/>
                      <w14:lumOff w14:val="5000"/>
                    </w14:schemeClr>
                  </w14:solidFill>
                </w14:textFill>
              </w:rPr>
            </w:pPr>
            <w:r>
              <w:rPr>
                <w:rFonts w:ascii="黑体" w:hAnsi="黑体" w:eastAsia="黑体"/>
                <w:color w:val="0D0D0D" w:themeColor="text1" w:themeTint="F2"/>
                <w:kern w:val="0"/>
                <w:sz w:val="20"/>
                <w:szCs w:val="20"/>
                <w14:textFill>
                  <w14:solidFill>
                    <w14:schemeClr w14:val="tx1">
                      <w14:lumMod w14:val="95000"/>
                      <w14:lumOff w14:val="5000"/>
                    </w14:schemeClr>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1" w:hRule="atLeast"/>
          <w:jc w:val="center"/>
        </w:trPr>
        <w:tc>
          <w:tcPr>
            <w:tcW w:w="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6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c>
          <w:tcPr>
            <w:tcW w:w="5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0D0D0D" w:themeColor="text1" w:themeTint="F2"/>
                <w:lang w:val="en-US" w:eastAsia="zh-CN"/>
                <w14:textFill>
                  <w14:solidFill>
                    <w14:schemeClr w14:val="tx1">
                      <w14:lumMod w14:val="95000"/>
                      <w14:lumOff w14:val="5000"/>
                    </w14:schemeClr>
                  </w14:solidFill>
                </w14:textFill>
              </w:rPr>
            </w:pPr>
            <w:r>
              <w:rPr>
                <w:rFonts w:hint="eastAsia" w:ascii="Times New Roman" w:hAnsi="Times New Roman"/>
                <w:color w:val="0D0D0D" w:themeColor="text1" w:themeTint="F2"/>
                <w:lang w:val="en-US" w:eastAsia="zh-CN"/>
                <w14:textFill>
                  <w14:solidFill>
                    <w14:schemeClr w14:val="tx1">
                      <w14:lumMod w14:val="95000"/>
                      <w14:lumOff w14:val="5000"/>
                    </w14:schemeClr>
                  </w14:solidFill>
                </w14:textFill>
              </w:rPr>
              <w:t>0</w:t>
            </w:r>
          </w:p>
        </w:tc>
      </w:tr>
    </w:tbl>
    <w:p>
      <w:pPr>
        <w:pStyle w:val="2"/>
        <w:numPr>
          <w:ilvl w:val="0"/>
          <w:numId w:val="0"/>
        </w:numPr>
        <w:rPr>
          <w:color w:val="0D0D0D" w:themeColor="text1" w:themeTint="F2"/>
          <w:lang w:val="en-US" w:eastAsia="zh-CN"/>
          <w14:textFill>
            <w14:solidFill>
              <w14:schemeClr w14:val="tx1">
                <w14:lumMod w14:val="95000"/>
                <w14:lumOff w14:val="5000"/>
              </w14:schemeClr>
            </w14:solidFill>
          </w14:textFill>
        </w:rPr>
      </w:pPr>
    </w:p>
    <w:p>
      <w:pPr>
        <w:pStyle w:val="4"/>
        <w:numPr>
          <w:ilvl w:val="0"/>
          <w:numId w:val="0"/>
        </w:numPr>
        <w:spacing w:before="0" w:after="0" w:line="240" w:lineRule="auto"/>
        <w:ind w:firstLine="643" w:firstLineChars="200"/>
        <w:rPr>
          <w:rFonts w:ascii="楷体_GB2312" w:eastAsia="楷体_GB2312"/>
          <w:color w:val="0D0D0D" w:themeColor="text1" w:themeTint="F2"/>
          <w14:textFill>
            <w14:solidFill>
              <w14:schemeClr w14:val="tx1">
                <w14:lumMod w14:val="95000"/>
                <w14:lumOff w14:val="5000"/>
              </w14:schemeClr>
            </w14:solidFill>
          </w14:textFill>
        </w:rPr>
      </w:pPr>
      <w:r>
        <w:rPr>
          <w:rFonts w:hint="eastAsia" w:ascii="楷体_GB2312" w:eastAsia="楷体_GB2312"/>
          <w:color w:val="0D0D0D" w:themeColor="text1" w:themeTint="F2"/>
          <w:lang w:val="en-US" w:eastAsia="zh-CN"/>
          <w14:textFill>
            <w14:solidFill>
              <w14:schemeClr w14:val="tx1">
                <w14:lumMod w14:val="95000"/>
                <w14:lumOff w14:val="5000"/>
              </w14:schemeClr>
            </w14:solidFill>
          </w14:textFill>
        </w:rPr>
        <w:t>五、</w:t>
      </w:r>
      <w:r>
        <w:rPr>
          <w:rFonts w:ascii="楷体_GB2312" w:eastAsia="楷体_GB2312"/>
          <w:color w:val="0D0D0D" w:themeColor="text1" w:themeTint="F2"/>
          <w14:textFill>
            <w14:solidFill>
              <w14:schemeClr w14:val="tx1">
                <w14:lumMod w14:val="95000"/>
                <w14:lumOff w14:val="5000"/>
              </w14:schemeClr>
            </w14:solidFill>
          </w14:textFill>
        </w:rPr>
        <w:t>政府信息公开工作存在的主要问题及改进情况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（一）</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存在</w:t>
      </w: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问题</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。我单位在政府信息公开工作中还存在信息公开数量有待</w:t>
      </w: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进一步增强</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，内容有待进一步丰富，信息公开的渠道有待进一步拓宽等问题。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（二）改进措施</w:t>
      </w:r>
      <w:r>
        <w:rPr>
          <w:rFonts w:hint="default"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一是进一步加强领导，落实工作责任，把应该公开的信息及时、准确、主动向社会公开；二是拓宽公开道，为政府信息公开提供丰富的形式和平台；三是进一步完善相关制度，为依法推进政府信息公开工作提供制度和纪律保障。</w:t>
      </w:r>
    </w:p>
    <w:p>
      <w:pPr>
        <w:pStyle w:val="4"/>
        <w:numPr>
          <w:ilvl w:val="0"/>
          <w:numId w:val="0"/>
        </w:numPr>
        <w:spacing w:before="0" w:after="0" w:line="240" w:lineRule="auto"/>
        <w:ind w:firstLine="643" w:firstLineChars="200"/>
        <w:rPr>
          <w:rFonts w:ascii="楷体_GB2312" w:eastAsia="楷体_GB2312"/>
          <w:color w:val="0D0D0D" w:themeColor="text1" w:themeTint="F2"/>
          <w14:textFill>
            <w14:solidFill>
              <w14:schemeClr w14:val="tx1">
                <w14:lumMod w14:val="95000"/>
                <w14:lumOff w14:val="5000"/>
              </w14:schemeClr>
            </w14:solidFill>
          </w14:textFill>
        </w:rPr>
      </w:pPr>
      <w:r>
        <w:rPr>
          <w:rFonts w:hint="eastAsia" w:ascii="楷体_GB2312" w:eastAsia="楷体_GB2312"/>
          <w:color w:val="0D0D0D" w:themeColor="text1" w:themeTint="F2"/>
          <w:lang w:val="en-US" w:eastAsia="zh-CN"/>
          <w14:textFill>
            <w14:solidFill>
              <w14:schemeClr w14:val="tx1">
                <w14:lumMod w14:val="95000"/>
                <w14:lumOff w14:val="5000"/>
              </w14:schemeClr>
            </w14:solidFill>
          </w14:textFill>
        </w:rPr>
        <w:t>六、</w:t>
      </w:r>
      <w:r>
        <w:rPr>
          <w:rFonts w:ascii="楷体_GB2312" w:eastAsia="楷体_GB2312"/>
          <w:color w:val="0D0D0D" w:themeColor="text1" w:themeTint="F2"/>
          <w14:textFill>
            <w14:solidFill>
              <w14:schemeClr w14:val="tx1">
                <w14:lumMod w14:val="95000"/>
                <w14:lumOff w14:val="5000"/>
              </w14:schemeClr>
            </w14:solidFill>
          </w14:textFill>
        </w:rPr>
        <w:t>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1.本年度政府信息公开申请未达到《政府信息公开信息处理费管理办法》（国办函〔2020〕109号）所规定的信息处理费收费标准，故未收取信息处理费。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2.本行政机关人大代表建议和政协提案办理结果公开情况。全年</w:t>
      </w: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未</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承办区级人大代表建议和区政协委员提案。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3.本行政机关年度政务公开工作创新情况。一是严格要求，做好政务公开工作。提高政务公开信息的内容质量。二是加强政务公开信息的宣传工作。利用</w:t>
      </w: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网站</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及时</w:t>
      </w:r>
      <w:r>
        <w:rPr>
          <w:rFonts w:hint="eastAsia" w:ascii="仿宋_GB2312"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本单位动态等</w:t>
      </w: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相关信息，满足群众的需求。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4.本行政机关政府信息公开工作年度报告数据统计需要说明的事项。本报告中所列数据的统计时限为2022年1月1日至2022年12月31日。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5.本行政机关认为需要报告的其他事项。无。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right="0" w:firstLine="640" w:firstLineChars="200"/>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kern w:val="2"/>
          <w:sz w:val="32"/>
          <w:szCs w:val="32"/>
          <w:lang w:val="en-US" w:eastAsia="zh-CN"/>
          <w14:textFill>
            <w14:solidFill>
              <w14:schemeClr w14:val="tx1">
                <w14:lumMod w14:val="95000"/>
                <w14:lumOff w14:val="5000"/>
              </w14:schemeClr>
            </w14:solidFill>
          </w14:textFill>
        </w:rPr>
        <w:t>6.其他有关文件专门要求通过政府信息公开工作年度报告予以报告的事项。无。</w:t>
      </w: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883E"/>
    <w:multiLevelType w:val="singleLevel"/>
    <w:tmpl w:val="91A5883E"/>
    <w:lvl w:ilvl="0" w:tentative="0">
      <w:start w:val="1"/>
      <w:numFmt w:val="chineseCounting"/>
      <w:suff w:val="nothing"/>
      <w:lvlText w:val="（%1）"/>
      <w:lvlJc w:val="left"/>
      <w:rPr>
        <w:rFonts w:hint="eastAsia"/>
      </w:rPr>
    </w:lvl>
  </w:abstractNum>
  <w:abstractNum w:abstractNumId="1">
    <w:nsid w:val="B623971A"/>
    <w:multiLevelType w:val="singleLevel"/>
    <w:tmpl w:val="B623971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ZWRhZTY0YjE5YmExYmM2NGI5NTc0MjFhMzAwMjIifQ=="/>
  </w:docVars>
  <w:rsids>
    <w:rsidRoot w:val="1C8A0C6D"/>
    <w:rsid w:val="1C8A0C6D"/>
    <w:rsid w:val="2AFD22C2"/>
    <w:rsid w:val="2C372D1B"/>
    <w:rsid w:val="2D774C4E"/>
    <w:rsid w:val="36F4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主动公开信息数量</a:t>
            </a:r>
          </a:p>
        </c:rich>
      </c:tx>
      <c:layout/>
      <c:overlay val="0"/>
      <c:spPr>
        <a:noFill/>
        <a:ln>
          <a:noFill/>
        </a:ln>
        <a:effectLst/>
      </c:spPr>
    </c:title>
    <c:autoTitleDeleted val="0"/>
    <c:plotArea>
      <c:layout/>
      <c:barChart>
        <c:barDir val="col"/>
        <c:grouping val="clustered"/>
        <c:varyColors val="0"/>
        <c:ser>
          <c:idx val="0"/>
          <c:order val="0"/>
          <c:tx>
            <c:strRef>
              <c:f>'[新建 XLSX 工作表.xlsx]Sheet1'!$A$3</c:f>
              <c:strCache>
                <c:ptCount val="1"/>
                <c:pt idx="0">
                  <c:v>数量</c:v>
                </c:pt>
              </c:strCache>
            </c:strRef>
          </c:tx>
          <c:spPr>
            <a:solidFill>
              <a:schemeClr val="accent1"/>
            </a:solidFill>
            <a:ln>
              <a:noFill/>
            </a:ln>
            <a:effectLst/>
          </c:spPr>
          <c:invertIfNegative val="0"/>
          <c:dLbls>
            <c:delete val="1"/>
          </c:dLbls>
          <c:cat>
            <c:multiLvlStrRef>
              <c:f>'[新建 XLSX 工作表.xlsx]Sheet1'!$B$1:$C$2</c:f>
              <c:multiLvlStrCache>
                <c:ptCount val="2"/>
                <c:lvl>
                  <c:pt idx="0">
                    <c:v>2021年</c:v>
                  </c:pt>
                  <c:pt idx="1">
                    <c:v>2022年</c:v>
                  </c:pt>
                </c:lvl>
                <c:lvl/>
              </c:multiLvlStrCache>
            </c:multiLvlStrRef>
          </c:cat>
          <c:val>
            <c:numRef>
              <c:f>'[新建 XLSX 工作表.xlsx]Sheet1'!$B$3:$C$3</c:f>
              <c:numCache>
                <c:formatCode>General</c:formatCode>
                <c:ptCount val="2"/>
                <c:pt idx="0">
                  <c:v>125</c:v>
                </c:pt>
                <c:pt idx="1">
                  <c:v>112</c:v>
                </c:pt>
              </c:numCache>
            </c:numRef>
          </c:val>
        </c:ser>
        <c:dLbls>
          <c:showLegendKey val="0"/>
          <c:showVal val="0"/>
          <c:showCatName val="0"/>
          <c:showSerName val="0"/>
          <c:showPercent val="0"/>
          <c:showBubbleSize val="0"/>
        </c:dLbls>
        <c:gapWidth val="75"/>
        <c:overlap val="-25"/>
        <c:axId val="791467193"/>
        <c:axId val="652115453"/>
      </c:barChart>
      <c:catAx>
        <c:axId val="7914671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115453"/>
        <c:crosses val="autoZero"/>
        <c:auto val="1"/>
        <c:lblAlgn val="ctr"/>
        <c:lblOffset val="100"/>
        <c:noMultiLvlLbl val="0"/>
      </c:catAx>
      <c:valAx>
        <c:axId val="6521154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14671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1921</Words>
  <Characters>1997</Characters>
  <Lines>0</Lines>
  <Paragraphs>0</Paragraphs>
  <TotalTime>107</TotalTime>
  <ScaleCrop>false</ScaleCrop>
  <LinksUpToDate>false</LinksUpToDate>
  <CharactersWithSpaces>1998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2023-01-10T08:30:00Z</dcterms:created>
  <dc:creator>Xuyanyan</dc:creator>
  <cp:lastModifiedBy>Xuyanyan</cp:lastModifiedBy>
  <dcterms:modified xsi:type="dcterms:W3CDTF">2023-02-09T03:24:49Z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C917899D647444E3A346E81B3EF98D6F</vt:lpwstr>
  </property>
</Properties>
</file>