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枣庄高新</w:t>
      </w:r>
      <w:r>
        <w:rPr>
          <w:rFonts w:hint="eastAsia" w:ascii="方正小标宋简体" w:hAnsi="方正小标宋简体" w:eastAsia="方正小标宋简体" w:cs="方正小标宋简体"/>
          <w:b/>
          <w:bCs/>
          <w:sz w:val="44"/>
          <w:szCs w:val="44"/>
          <w:lang w:eastAsia="zh-CN"/>
        </w:rPr>
        <w:t>技术产业开发</w:t>
      </w:r>
      <w:r>
        <w:rPr>
          <w:rFonts w:hint="eastAsia" w:ascii="方正小标宋简体" w:hAnsi="方正小标宋简体" w:eastAsia="方正小标宋简体" w:cs="方正小标宋简体"/>
          <w:b/>
          <w:bCs/>
          <w:sz w:val="44"/>
          <w:szCs w:val="44"/>
        </w:rPr>
        <w:t>区消防救援大队202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年政府信息公开工作年度报告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32"/>
          <w:szCs w:val="32"/>
          <w:lang w:val="en-US" w:eastAsia="zh-CN"/>
        </w:rPr>
      </w:pPr>
      <w:r>
        <w:rPr>
          <w:rFonts w:hint="eastAsia"/>
          <w:b/>
          <w:bCs/>
          <w:sz w:val="32"/>
          <w:szCs w:val="32"/>
          <w:lang w:val="en-US" w:eastAsia="zh-CN"/>
        </w:rPr>
        <w:t>2022年1月12日</w:t>
      </w:r>
    </w:p>
    <w:p>
      <w:pPr>
        <w:rPr>
          <w:rStyle w:val="5"/>
          <w:rFonts w:ascii="微软雅黑" w:hAnsi="微软雅黑" w:eastAsia="微软雅黑" w:cs="微软雅黑"/>
          <w:sz w:val="36"/>
          <w:szCs w:val="36"/>
        </w:rPr>
      </w:pPr>
      <w:r>
        <w:rPr>
          <w:rStyle w:val="5"/>
          <w:rFonts w:ascii="微软雅黑" w:hAnsi="微软雅黑" w:eastAsia="微软雅黑" w:cs="微软雅黑"/>
          <w:sz w:val="36"/>
          <w:szCs w:val="36"/>
        </w:rPr>
        <w:br w:type="page"/>
      </w:r>
    </w:p>
    <w:p>
      <w:pPr>
        <w:pStyle w:val="2"/>
        <w:keepNext w:val="0"/>
        <w:keepLines w:val="0"/>
        <w:widowControl/>
        <w:suppressLineNumbers w:val="0"/>
        <w:spacing w:before="0" w:beforeAutospacing="0" w:line="315" w:lineRule="atLeast"/>
        <w:jc w:val="center"/>
        <w:rPr>
          <w:rStyle w:val="5"/>
          <w:rFonts w:ascii="微软雅黑" w:hAnsi="微软雅黑" w:eastAsia="微软雅黑" w:cs="微软雅黑"/>
          <w:sz w:val="44"/>
          <w:szCs w:val="44"/>
        </w:rPr>
      </w:pPr>
      <w:r>
        <w:rPr>
          <w:rFonts w:hint="eastAsia" w:ascii="方正小标宋简体" w:hAnsi="方正小标宋简体" w:eastAsia="方正小标宋简体" w:cs="方正小标宋简体"/>
          <w:b/>
          <w:bCs/>
          <w:sz w:val="44"/>
          <w:szCs w:val="44"/>
        </w:rPr>
        <w:t>枣庄高新</w:t>
      </w:r>
      <w:r>
        <w:rPr>
          <w:rFonts w:hint="eastAsia" w:ascii="方正小标宋简体" w:hAnsi="方正小标宋简体" w:eastAsia="方正小标宋简体" w:cs="方正小标宋简体"/>
          <w:b/>
          <w:bCs/>
          <w:sz w:val="44"/>
          <w:szCs w:val="44"/>
          <w:lang w:eastAsia="zh-CN"/>
        </w:rPr>
        <w:t>技术产业开发</w:t>
      </w:r>
      <w:r>
        <w:rPr>
          <w:rFonts w:hint="eastAsia" w:ascii="方正小标宋简体" w:hAnsi="方正小标宋简体" w:eastAsia="方正小标宋简体" w:cs="方正小标宋简体"/>
          <w:b/>
          <w:bCs/>
          <w:sz w:val="44"/>
          <w:szCs w:val="44"/>
        </w:rPr>
        <w:t>区消防救援大队</w:t>
      </w:r>
      <w:r>
        <w:rPr>
          <w:rStyle w:val="5"/>
          <w:rFonts w:ascii="微软雅黑" w:hAnsi="微软雅黑" w:eastAsia="微软雅黑" w:cs="微软雅黑"/>
          <w:sz w:val="44"/>
          <w:szCs w:val="44"/>
        </w:rPr>
        <w:t xml:space="preserve"> </w:t>
      </w:r>
    </w:p>
    <w:p>
      <w:pPr>
        <w:pStyle w:val="2"/>
        <w:keepNext w:val="0"/>
        <w:keepLines w:val="0"/>
        <w:widowControl/>
        <w:suppressLineNumbers w:val="0"/>
        <w:spacing w:before="0" w:beforeAutospacing="0" w:line="315"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年政府信息公开工作年度报告</w:t>
      </w:r>
    </w:p>
    <w:p>
      <w:pPr>
        <w:pStyle w:val="2"/>
        <w:keepNext w:val="0"/>
        <w:keepLines w:val="0"/>
        <w:widowControl/>
        <w:suppressLineNumbers w:val="0"/>
        <w:spacing w:line="315" w:lineRule="atLeast"/>
        <w:jc w:val="cente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w:t>
      </w:r>
      <w:r>
        <w:rPr>
          <w:rFonts w:hint="eastAsia" w:ascii="仿宋" w:hAnsi="仿宋" w:eastAsia="仿宋" w:cs="仿宋"/>
          <w:sz w:val="32"/>
          <w:szCs w:val="32"/>
        </w:rPr>
        <w:t>进一步保障人民群众对高新区消防救援大队的知情权、参与权和监督权。现向社会公</w:t>
      </w:r>
      <w:bookmarkStart w:id="10" w:name="_GoBack"/>
      <w:bookmarkEnd w:id="10"/>
      <w:r>
        <w:rPr>
          <w:rFonts w:hint="eastAsia" w:ascii="仿宋" w:hAnsi="仿宋" w:eastAsia="仿宋" w:cs="仿宋"/>
          <w:sz w:val="32"/>
          <w:szCs w:val="32"/>
        </w:rPr>
        <w:t>开枣庄高新区消防救援大队202</w:t>
      </w:r>
      <w:r>
        <w:rPr>
          <w:rFonts w:hint="eastAsia" w:ascii="仿宋" w:hAnsi="仿宋" w:eastAsia="仿宋" w:cs="仿宋"/>
          <w:sz w:val="32"/>
          <w:szCs w:val="32"/>
          <w:lang w:val="en-US" w:eastAsia="zh-CN"/>
        </w:rPr>
        <w:t>2</w:t>
      </w:r>
      <w:r>
        <w:rPr>
          <w:rFonts w:hint="eastAsia" w:ascii="仿宋" w:hAnsi="仿宋" w:eastAsia="仿宋" w:cs="仿宋"/>
          <w:sz w:val="32"/>
          <w:szCs w:val="32"/>
        </w:rPr>
        <w:t>年政府信息公开工作年度报告。年度报告包括总体情况；主动公开政府信息的情况；收到和处理政府信息公开申请的情况；因政府信息公开工作被申请行政复议、提起行政诉讼的情况；政府信息公开工作存在的主要问题及改进情况，本年度报告中所列数据的统计期限自202</w:t>
      </w:r>
      <w:r>
        <w:rPr>
          <w:rFonts w:hint="eastAsia" w:ascii="仿宋" w:hAnsi="仿宋" w:eastAsia="仿宋" w:cs="仿宋"/>
          <w:sz w:val="32"/>
          <w:szCs w:val="32"/>
          <w:lang w:val="en-US" w:eastAsia="zh-CN"/>
        </w:rPr>
        <w:t>2</w:t>
      </w:r>
      <w:r>
        <w:rPr>
          <w:rFonts w:hint="eastAsia" w:ascii="仿宋" w:hAnsi="仿宋" w:eastAsia="仿宋" w:cs="仿宋"/>
          <w:sz w:val="32"/>
          <w:szCs w:val="32"/>
        </w:rPr>
        <w:t>年1月1日起至202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sz w:val="32"/>
          <w:szCs w:val="32"/>
        </w:rPr>
      </w:pPr>
      <w:r>
        <w:rPr>
          <w:rStyle w:val="5"/>
          <w:rFonts w:hint="eastAsia" w:ascii="微软雅黑" w:hAnsi="微软雅黑" w:eastAsia="微软雅黑" w:cs="微软雅黑"/>
          <w:sz w:val="32"/>
          <w:szCs w:val="32"/>
        </w:rPr>
        <w:t> </w:t>
      </w:r>
      <w:r>
        <w:rPr>
          <w:rStyle w:val="5"/>
          <w:rFonts w:hint="eastAsia" w:ascii="黑体" w:hAnsi="黑体" w:eastAsia="黑体" w:cs="黑体"/>
          <w:sz w:val="32"/>
          <w:szCs w:val="32"/>
        </w:rPr>
        <w:t> </w:t>
      </w:r>
      <w:r>
        <w:rPr>
          <w:rStyle w:val="5"/>
          <w:rFonts w:hint="eastAsia" w:ascii="黑体" w:hAnsi="黑体" w:eastAsia="黑体" w:cs="黑体"/>
          <w:b w:val="0"/>
          <w:bCs/>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80" w:firstLineChars="200"/>
        <w:textAlignment w:val="auto"/>
        <w:rPr>
          <w:rFonts w:hint="eastAsia" w:ascii="仿宋" w:hAnsi="仿宋" w:eastAsia="仿宋" w:cs="仿宋"/>
          <w:sz w:val="32"/>
          <w:szCs w:val="32"/>
        </w:rPr>
      </w:pPr>
      <w:r>
        <w:t>  </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以来，高新区消防救援大队按照区政务公开要求，遵循依法、准确、及时、公正和便民的原则，加强组织领导，明确责任分工，细化分解任务，加大督导力度，全面推进组织建设、平台建设、制度建设，扎实做好政府信息公开工作政府信息公开工作的积极性、主动性不断提高，政府工作透明度进一步增强，有效地保障了公民的知情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（一）主动公开政府信息数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年高新区消防救援大队主动公开政府信息</w:t>
      </w:r>
      <w:r>
        <w:rPr>
          <w:rFonts w:hint="eastAsia" w:ascii="仿宋" w:hAnsi="仿宋" w:eastAsia="仿宋" w:cs="仿宋"/>
          <w:sz w:val="32"/>
          <w:szCs w:val="32"/>
          <w:lang w:val="en-US" w:eastAsia="zh-CN"/>
        </w:rPr>
        <w:t>48</w:t>
      </w:r>
      <w:r>
        <w:rPr>
          <w:rFonts w:hint="eastAsia" w:ascii="仿宋" w:hAnsi="仿宋" w:eastAsia="仿宋" w:cs="仿宋"/>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（二）通过不同渠道和方式公开政府信息的情况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政府网站。202</w:t>
      </w:r>
      <w:r>
        <w:rPr>
          <w:rFonts w:hint="eastAsia" w:ascii="仿宋" w:hAnsi="仿宋" w:eastAsia="仿宋" w:cs="仿宋"/>
          <w:sz w:val="32"/>
          <w:szCs w:val="32"/>
          <w:lang w:val="en-US" w:eastAsia="zh-CN"/>
        </w:rPr>
        <w:t>2</w:t>
      </w:r>
      <w:r>
        <w:rPr>
          <w:rFonts w:hint="eastAsia" w:ascii="仿宋" w:hAnsi="仿宋" w:eastAsia="仿宋" w:cs="仿宋"/>
          <w:sz w:val="32"/>
          <w:szCs w:val="32"/>
        </w:rPr>
        <w:t>年通过政府门户网站公开政府信息</w:t>
      </w:r>
      <w:r>
        <w:rPr>
          <w:rFonts w:hint="eastAsia" w:ascii="仿宋" w:hAnsi="仿宋" w:eastAsia="仿宋" w:cs="仿宋"/>
          <w:sz w:val="32"/>
          <w:szCs w:val="32"/>
          <w:lang w:val="en-US" w:eastAsia="zh-CN"/>
        </w:rPr>
        <w:t>48</w:t>
      </w:r>
      <w:r>
        <w:rPr>
          <w:rFonts w:hint="eastAsia" w:ascii="仿宋" w:hAnsi="仿宋" w:eastAsia="仿宋" w:cs="仿宋"/>
          <w:sz w:val="32"/>
          <w:szCs w:val="32"/>
        </w:rPr>
        <w:t>条。</w:t>
      </w:r>
    </w:p>
    <w:p>
      <w:pPr>
        <w:pStyle w:val="2"/>
        <w:keepNext w:val="0"/>
        <w:keepLines w:val="0"/>
        <w:widowControl/>
        <w:suppressLineNumbers w:val="0"/>
        <w:spacing w:line="368" w:lineRule="atLeast"/>
        <w:ind w:left="0" w:firstLine="420"/>
        <w:rPr>
          <w:rFonts w:hint="eastAsia" w:eastAsiaTheme="minorEastAsia"/>
          <w:lang w:eastAsia="zh-CN"/>
        </w:rPr>
      </w:pPr>
      <w:r>
        <w:rPr>
          <w:rFonts w:hint="eastAsia" w:eastAsiaTheme="minorEastAsia"/>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spacing w:line="315" w:lineRule="atLeast"/>
        <w:ind w:left="0" w:firstLine="420"/>
        <w:rPr>
          <w:rFonts w:hint="eastAsia" w:eastAsiaTheme="minorEastAsia"/>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年收到申请数0件。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（四）政府信息公开申请提起行政复议、行政诉讼、被举报投诉的情况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年，没有发生针对政府信息公开事务的行政复议申请、申诉和行政诉讼案件以及被举报情况。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（五）信息平台建设情况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按照部署要求，高新区消费救援大队做好政府信息公开指南、年报、制度、法定主动公开内容等政府信息的梳理、归集。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托枣庄高新区政府门户网站，高新区消防救援大队严格按照信息公开要求规范，统一进行年报、公开指南、部门信息等法定公开内容的上传及管理，同时坚持信息公开渠道的多元化，运用图表、电子书、微信公众号等多种方式丰富政务信息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（七）监督保障情况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1.加强日常监督机制。严格落实政务公开责任制和目标管理制，做好监管工作。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2.加大考核力度。有序规范开展政务信息公开工作，做到工作有部署、实施有检查，并接受相关部门考核，保证广大人民群众的知情权、参与权和监督权。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2114"/>
        <w:gridCol w:w="2114"/>
        <w:gridCol w:w="2114"/>
        <w:gridCol w:w="21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882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信息内容</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本年制发件数</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本年废止件数</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规章</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行政规范性文件</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82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信息内容</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行政许可</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82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25" w:hRule="atLeast"/>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信息内容</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行政处罚</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行政强制</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82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信息内容</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行政事业性收费</w:t>
            </w:r>
          </w:p>
        </w:tc>
        <w:tc>
          <w:tcPr>
            <w:tcW w:w="661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410"/>
        <w:gridCol w:w="1465"/>
        <w:gridCol w:w="2490"/>
        <w:gridCol w:w="692"/>
        <w:gridCol w:w="489"/>
        <w:gridCol w:w="489"/>
        <w:gridCol w:w="620"/>
        <w:gridCol w:w="596"/>
        <w:gridCol w:w="489"/>
        <w:gridCol w:w="7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5100" w:type="dxa"/>
            <w:gridSpan w:val="3"/>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（本列数据的勾稽关系为：第一项加第二项之和，</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等于第三项加第四项之和）</w:t>
            </w:r>
          </w:p>
        </w:tc>
        <w:tc>
          <w:tcPr>
            <w:tcW w:w="4815" w:type="dxa"/>
            <w:gridSpan w:val="7"/>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5100"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8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自然人</w:t>
            </w:r>
          </w:p>
        </w:tc>
        <w:tc>
          <w:tcPr>
            <w:tcW w:w="3135"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法人或其他组织</w:t>
            </w:r>
          </w:p>
        </w:tc>
        <w:tc>
          <w:tcPr>
            <w:tcW w:w="85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5100"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8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商业企业</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科研机构</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社会公益组织</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法律服务机构</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其他</w:t>
            </w:r>
          </w:p>
        </w:tc>
        <w:tc>
          <w:tcPr>
            <w:tcW w:w="85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510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一、</w:t>
            </w:r>
            <w:bookmarkStart w:id="0" w:name="_Hlk66973412"/>
            <w:r>
              <w:rPr>
                <w:rFonts w:ascii="黑体" w:hAnsi="黑体" w:eastAsia="黑体"/>
                <w:kern w:val="0"/>
                <w:sz w:val="20"/>
                <w:szCs w:val="20"/>
              </w:rPr>
              <w:t>本年新收政府信息公开申请数量</w:t>
            </w:r>
            <w:bookmarkEnd w:id="0"/>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510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二、上年结转政府信息公开申请数量</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三、本年度办理结果</w:t>
            </w:r>
          </w:p>
        </w:tc>
        <w:tc>
          <w:tcPr>
            <w:tcW w:w="468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（一）予以公开</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468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（二）部分公开（</w:t>
            </w:r>
            <w:bookmarkStart w:id="1" w:name="_Hlk66973981"/>
            <w:r>
              <w:rPr>
                <w:rFonts w:ascii="黑体" w:hAnsi="黑体" w:eastAsia="黑体"/>
                <w:kern w:val="0"/>
                <w:sz w:val="20"/>
                <w:szCs w:val="20"/>
              </w:rPr>
              <w:t>区分处理的，只计这一情形，不计其他情形</w:t>
            </w:r>
            <w:bookmarkEnd w:id="1"/>
            <w:r>
              <w:rPr>
                <w:rFonts w:ascii="黑体" w:hAnsi="黑体" w:eastAsia="黑体"/>
                <w:kern w:val="0"/>
                <w:sz w:val="20"/>
                <w:szCs w:val="20"/>
              </w:rPr>
              <w:t>）</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（三）不予公开</w:t>
            </w: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1.属于国家秘密</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2.</w:t>
            </w:r>
            <w:bookmarkStart w:id="2" w:name="_Hlk66974104"/>
            <w:r>
              <w:rPr>
                <w:rFonts w:hint="eastAsia" w:ascii="仿宋_GB2312" w:hAnsi="楷体" w:eastAsia="仿宋_GB2312"/>
                <w:szCs w:val="22"/>
              </w:rPr>
              <w:t>其他法律行政法规禁止公开</w:t>
            </w:r>
            <w:bookmarkEnd w:id="2"/>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3.危及“三安全一稳定”</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4.</w:t>
            </w:r>
            <w:bookmarkStart w:id="3" w:name="_Hlk66974290"/>
            <w:r>
              <w:rPr>
                <w:rFonts w:hint="eastAsia" w:ascii="仿宋_GB2312" w:hAnsi="楷体" w:eastAsia="仿宋_GB2312"/>
                <w:szCs w:val="22"/>
              </w:rPr>
              <w:t>保护第三方合法权益</w:t>
            </w:r>
            <w:bookmarkEnd w:id="3"/>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5.属于三类内部事务信息</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6.</w:t>
            </w:r>
            <w:bookmarkStart w:id="4" w:name="_Hlk66974555"/>
            <w:r>
              <w:rPr>
                <w:rFonts w:hint="eastAsia" w:ascii="仿宋_GB2312" w:hAnsi="楷体" w:eastAsia="仿宋_GB2312"/>
                <w:szCs w:val="22"/>
              </w:rPr>
              <w:t>属于四类过程性信息</w:t>
            </w:r>
            <w:bookmarkEnd w:id="4"/>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7.属于行政执法案卷</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8.</w:t>
            </w:r>
            <w:bookmarkStart w:id="5" w:name="_Hlk66975211"/>
            <w:r>
              <w:rPr>
                <w:rFonts w:hint="eastAsia" w:ascii="仿宋_GB2312" w:hAnsi="楷体" w:eastAsia="仿宋_GB2312"/>
                <w:szCs w:val="22"/>
              </w:rPr>
              <w:t>属于行政查询事项</w:t>
            </w:r>
            <w:bookmarkEnd w:id="5"/>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（四）无法提供</w:t>
            </w: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1.本机关不掌握相关政府信息</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2.</w:t>
            </w:r>
            <w:bookmarkStart w:id="6" w:name="_Hlk66975392"/>
            <w:r>
              <w:rPr>
                <w:rFonts w:hint="eastAsia" w:ascii="仿宋_GB2312" w:hAnsi="楷体" w:eastAsia="仿宋_GB2312"/>
                <w:szCs w:val="22"/>
              </w:rPr>
              <w:t>没有现成信息需要另行制作</w:t>
            </w:r>
            <w:bookmarkEnd w:id="6"/>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3.</w:t>
            </w:r>
            <w:bookmarkStart w:id="7" w:name="_Hlk66975466"/>
            <w:r>
              <w:rPr>
                <w:rFonts w:hint="eastAsia" w:ascii="仿宋_GB2312" w:hAnsi="楷体" w:eastAsia="仿宋_GB2312"/>
                <w:szCs w:val="22"/>
              </w:rPr>
              <w:t>补正后申请内容仍不明确</w:t>
            </w:r>
            <w:bookmarkEnd w:id="7"/>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（五）不予处理</w:t>
            </w: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1.</w:t>
            </w:r>
            <w:bookmarkStart w:id="8" w:name="_Hlk66975537"/>
            <w:r>
              <w:rPr>
                <w:rFonts w:hint="eastAsia" w:ascii="仿宋_GB2312" w:hAnsi="楷体" w:eastAsia="仿宋_GB2312"/>
                <w:szCs w:val="22"/>
              </w:rPr>
              <w:t>信访举报投诉类申请</w:t>
            </w:r>
            <w:bookmarkEnd w:id="8"/>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2.重复申请</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3.要求提供公开出版物</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4.无正当理由大量反复申请</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5.要求行政机关确认或重新</w:t>
            </w:r>
          </w:p>
          <w:p>
            <w:pPr>
              <w:widowControl/>
              <w:spacing w:line="300" w:lineRule="exact"/>
              <w:rPr>
                <w:rFonts w:hint="eastAsia" w:ascii="仿宋_GB2312" w:hAnsi="楷体" w:eastAsia="仿宋_GB2312"/>
                <w:szCs w:val="22"/>
              </w:rPr>
            </w:pPr>
            <w:r>
              <w:rPr>
                <w:rFonts w:hint="eastAsia" w:ascii="仿宋_GB2312" w:hAnsi="楷体" w:eastAsia="仿宋_GB2312"/>
                <w:szCs w:val="22"/>
              </w:rPr>
              <w:t>出具已获取信息</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（六）其他处理</w:t>
            </w: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1.申请人无正当理由逾期不补正、行政机关不再处理其政府信息公开申请</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spacing w:line="300" w:lineRule="exact"/>
              <w:rPr>
                <w:rFonts w:hint="eastAsia" w:ascii="仿宋_GB2312" w:hAnsi="楷体" w:eastAsia="仿宋_GB2312"/>
                <w:szCs w:val="22"/>
              </w:rPr>
            </w:pPr>
            <w:r>
              <w:rPr>
                <w:rFonts w:hint="eastAsia" w:ascii="仿宋_GB2312" w:hAnsi="楷体" w:eastAsia="仿宋_GB2312"/>
                <w:szCs w:val="22"/>
              </w:rPr>
              <w:t>2.申请人逾期未按收费通知要求缴纳费用、行政机关不再处理其政府信息公开申请</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169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29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3.其他</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4680" w:type="dxa"/>
            <w:gridSpan w:val="2"/>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（七）总计</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00"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四、结转下年度继续办理</w:t>
            </w:r>
          </w:p>
        </w:tc>
        <w:tc>
          <w:tcPr>
            <w:tcW w:w="8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70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8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bl>
    <w:p>
      <w:pPr>
        <w:pStyle w:val="2"/>
        <w:keepNext w:val="0"/>
        <w:keepLines w:val="0"/>
        <w:widowControl/>
        <w:suppressLineNumbers w:val="0"/>
        <w:spacing w:line="315" w:lineRule="atLeast"/>
        <w:rPr>
          <w:rStyle w:val="5"/>
          <w:rFonts w:hint="eastAsia" w:ascii="黑体" w:hAnsi="黑体" w:eastAsia="黑体" w:cs="黑体"/>
          <w:b w:val="0"/>
          <w:bCs/>
          <w:sz w:val="32"/>
          <w:szCs w:val="32"/>
        </w:rPr>
      </w:pPr>
      <w:r>
        <w:t> </w:t>
      </w:r>
      <w:r>
        <w:rPr>
          <w:rStyle w:val="5"/>
          <w:rFonts w:hint="eastAsia" w:ascii="黑体" w:hAnsi="黑体" w:eastAsia="黑体" w:cs="黑体"/>
          <w:b w:val="0"/>
          <w:bCs/>
          <w:sz w:val="32"/>
          <w:szCs w:val="32"/>
        </w:rPr>
        <w:t>四、因政府信息公开工作被申请行政复议、提起行政诉讼情况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559"/>
        <w:gridCol w:w="559"/>
        <w:gridCol w:w="559"/>
        <w:gridCol w:w="559"/>
        <w:gridCol w:w="627"/>
        <w:gridCol w:w="519"/>
        <w:gridCol w:w="559"/>
        <w:gridCol w:w="559"/>
        <w:gridCol w:w="559"/>
        <w:gridCol w:w="573"/>
        <w:gridCol w:w="559"/>
        <w:gridCol w:w="559"/>
        <w:gridCol w:w="559"/>
        <w:gridCol w:w="560"/>
        <w:gridCol w:w="58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3075"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行政复议</w:t>
            </w:r>
          </w:p>
        </w:tc>
        <w:tc>
          <w:tcPr>
            <w:tcW w:w="6000" w:type="dxa"/>
            <w:gridSpan w:val="10"/>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维持</w:t>
            </w:r>
          </w:p>
        </w:tc>
        <w:tc>
          <w:tcPr>
            <w:tcW w:w="6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结果纠正</w:t>
            </w:r>
          </w:p>
        </w:tc>
        <w:tc>
          <w:tcPr>
            <w:tcW w:w="6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其他结果</w:t>
            </w:r>
          </w:p>
        </w:tc>
        <w:tc>
          <w:tcPr>
            <w:tcW w:w="60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尚未</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审结</w:t>
            </w:r>
          </w:p>
        </w:tc>
        <w:tc>
          <w:tcPr>
            <w:tcW w:w="66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总</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计</w:t>
            </w:r>
          </w:p>
        </w:tc>
        <w:tc>
          <w:tcPr>
            <w:tcW w:w="2970"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未经复议直接起诉</w:t>
            </w:r>
          </w:p>
        </w:tc>
        <w:tc>
          <w:tcPr>
            <w:tcW w:w="3030"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bookmarkStart w:id="9" w:name="_Hlk67039688"/>
            <w:r>
              <w:rPr>
                <w:rFonts w:ascii="黑体" w:hAnsi="黑体" w:eastAsia="黑体"/>
                <w:kern w:val="0"/>
                <w:sz w:val="20"/>
                <w:szCs w:val="20"/>
              </w:rPr>
              <w:t>复议后起诉</w:t>
            </w:r>
            <w:bookmarkEnd w:id="9"/>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6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6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60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66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hint="eastAsia" w:ascii="黑体" w:hAnsi="黑体" w:eastAsia="黑体"/>
                <w:kern w:val="0"/>
                <w:sz w:val="20"/>
                <w:szCs w:val="20"/>
              </w:rPr>
            </w:pP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结果维持</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结果纠正</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其他</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尚未</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审结</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总计</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结果维持</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纠正</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其他</w:t>
            </w:r>
          </w:p>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尚未审结</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6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五、工作中存在的问题和改进情况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政务信息公开工作开展以来，高新区消防救援大队政务信息公开工作虽然完成了每年规定的公开数量任务，但依然存在很多问题和不足：一是政务公开信息量少，信息质量有待提升，对于上传的信息质量还需进一步检查把关。二是政务公开信息内容单一，未能达到内容形式多样化。三是队伍建设薄弱、力量缺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以上问题，提出如下工作建议。一是加强组织领导，明确推进政务公开的目标任务。把政务公开工作作为经常性工作列入重要议事日程，把政务公开年度目标任务加以考核。二是拓宽公开渠道。进一步深化学习,认真对照政务公开标准,确定工作标准,定期开展政务公开自查工作,结合平时督查,对发现的问题及时整改,防止出现死角和漏洞。三是强化队伍建设。加强业务培训，不断提高业务人员工作和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1.本年度政府信息公开申请未达到《政府信息公开信息处理费管理办法》（国办函〔2020〕109号）所规定的信息处理费收费标准，故未收取信息处理费。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2.本行政机关人大代表建议和政协提案办理结果公开情况。全年</w:t>
      </w:r>
      <w:r>
        <w:rPr>
          <w:rFonts w:hint="eastAsia" w:ascii="仿宋" w:hAnsi="仿宋" w:eastAsia="仿宋" w:cs="仿宋"/>
          <w:sz w:val="32"/>
          <w:szCs w:val="32"/>
          <w:lang w:eastAsia="zh-CN"/>
        </w:rPr>
        <w:t>未</w:t>
      </w:r>
      <w:r>
        <w:rPr>
          <w:rFonts w:hint="eastAsia" w:ascii="仿宋" w:hAnsi="仿宋" w:eastAsia="仿宋" w:cs="仿宋"/>
          <w:sz w:val="32"/>
          <w:szCs w:val="32"/>
        </w:rPr>
        <w:t>承办区级人大代表建议和区政协委员提案</w:t>
      </w:r>
      <w:r>
        <w:rPr>
          <w:rFonts w:hint="eastAsia" w:ascii="仿宋" w:hAnsi="仿宋" w:eastAsia="仿宋" w:cs="仿宋"/>
          <w:sz w:val="32"/>
          <w:szCs w:val="32"/>
          <w:lang w:eastAsia="zh-CN"/>
        </w:rPr>
        <w:t>，</w:t>
      </w:r>
      <w:r>
        <w:rPr>
          <w:rFonts w:hint="eastAsia" w:ascii="仿宋" w:hAnsi="仿宋" w:eastAsia="仿宋" w:cs="仿宋"/>
          <w:sz w:val="32"/>
          <w:szCs w:val="32"/>
        </w:rPr>
        <w:t>全年</w:t>
      </w:r>
      <w:r>
        <w:rPr>
          <w:rFonts w:hint="eastAsia" w:ascii="仿宋" w:hAnsi="仿宋" w:eastAsia="仿宋" w:cs="仿宋"/>
          <w:sz w:val="32"/>
          <w:szCs w:val="32"/>
          <w:lang w:eastAsia="zh-CN"/>
        </w:rPr>
        <w:t>未</w:t>
      </w:r>
      <w:r>
        <w:rPr>
          <w:rFonts w:hint="eastAsia" w:ascii="仿宋" w:hAnsi="仿宋" w:eastAsia="仿宋" w:cs="仿宋"/>
          <w:sz w:val="32"/>
          <w:szCs w:val="32"/>
        </w:rPr>
        <w:t>承办区级人大代表建议和区政协委员提案</w:t>
      </w:r>
      <w:r>
        <w:rPr>
          <w:rFonts w:hint="eastAsia" w:ascii="仿宋" w:hAnsi="仿宋" w:eastAsia="仿宋" w:cs="仿宋"/>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行政机关年度政务公开工作创新情况。逐步推动政务公开电子化。通过开展政务公开标准化工作，便捷了群众对其想知晓的政府信息的查找，加强了社会对政务公开工作的监督，规范了政府机关的权力运行，提高了工作效率，保障了工作顺利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 w:hAnsi="仿宋" w:eastAsia="仿宋" w:cs="仿宋"/>
          <w:sz w:val="32"/>
          <w:szCs w:val="32"/>
        </w:rPr>
      </w:pPr>
      <w:r>
        <w:rPr>
          <w:rFonts w:hint="eastAsia" w:ascii="仿宋" w:hAnsi="仿宋" w:eastAsia="仿宋" w:cs="仿宋"/>
          <w:sz w:val="32"/>
          <w:szCs w:val="32"/>
        </w:rPr>
        <w:t>4.本行政机关政府信息公开工作年度报告数据统计需要说明的事项。本报告中所列数据的统计时限为2022年1月1日至2022年12月31日。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 w:hAnsi="仿宋" w:eastAsia="仿宋" w:cs="仿宋"/>
          <w:sz w:val="32"/>
          <w:szCs w:val="32"/>
        </w:rPr>
      </w:pPr>
      <w:r>
        <w:rPr>
          <w:rFonts w:hint="eastAsia" w:ascii="仿宋" w:hAnsi="仿宋" w:eastAsia="仿宋" w:cs="仿宋"/>
          <w:sz w:val="32"/>
          <w:szCs w:val="32"/>
        </w:rPr>
        <w:t>5.本行政机关认为需要报告的其他事项。无。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hint="default" w:ascii="仿宋" w:hAnsi="仿宋" w:eastAsia="仿宋" w:cs="仿宋"/>
          <w:sz w:val="32"/>
          <w:szCs w:val="32"/>
        </w:rPr>
      </w:pPr>
      <w:r>
        <w:rPr>
          <w:rFonts w:hint="eastAsia" w:ascii="仿宋" w:hAnsi="仿宋" w:eastAsia="仿宋" w:cs="仿宋"/>
          <w:sz w:val="32"/>
          <w:szCs w:val="32"/>
        </w:rPr>
        <w:t>6.其他有关文件专门要求通过政府信息公开工作年度报告予以报告的事项。无。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480" w:firstLineChars="200"/>
        <w:textAlignment w:val="auto"/>
      </w:pPr>
    </w:p>
    <w:p>
      <w:pPr>
        <w:pStyle w:val="2"/>
        <w:keepNext w:val="0"/>
        <w:keepLines w:val="0"/>
        <w:widowControl/>
        <w:suppressLineNumbers w:val="0"/>
        <w:spacing w:line="315" w:lineRule="atLeast"/>
        <w:ind w:left="0" w:firstLine="420"/>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ZmQxNTZjMzU5MDk4YjI5NzEzYjFiN2VjZGEwNTEifQ=="/>
  </w:docVars>
  <w:rsids>
    <w:rsidRoot w:val="09FE7A0A"/>
    <w:rsid w:val="02461FA0"/>
    <w:rsid w:val="02AA054A"/>
    <w:rsid w:val="09FE7A0A"/>
    <w:rsid w:val="0F7D315A"/>
    <w:rsid w:val="14D52C06"/>
    <w:rsid w:val="1EC1730B"/>
    <w:rsid w:val="24AB45DC"/>
    <w:rsid w:val="2A262618"/>
    <w:rsid w:val="531F24A0"/>
    <w:rsid w:val="58CD206E"/>
    <w:rsid w:val="5D00565E"/>
    <w:rsid w:val="673F3837"/>
    <w:rsid w:val="739C0C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主动公开政府信息</c:v>
                </c:pt>
              </c:strCache>
            </c:strRef>
          </c:tx>
          <c:spPr>
            <a:solidFill>
              <a:schemeClr val="accent1"/>
            </a:solidFill>
            <a:ln>
              <a:noFill/>
            </a:ln>
            <a:effectLst/>
          </c:spPr>
          <c:invertIfNegative val="0"/>
          <c:dLbls>
            <c:delete val="1"/>
          </c:dLbls>
          <c:cat>
            <c:strRef>
              <c:f>Sheet1!$A$2</c:f>
              <c:strCache>
                <c:ptCount val="1"/>
                <c:pt idx="0">
                  <c:v>2022年度</c:v>
                </c:pt>
              </c:strCache>
            </c:strRef>
          </c:cat>
          <c:val>
            <c:numRef>
              <c:f>Sheet1!$B$2</c:f>
              <c:numCache>
                <c:formatCode>General</c:formatCode>
                <c:ptCount val="1"/>
                <c:pt idx="0">
                  <c:v>48</c:v>
                </c:pt>
              </c:numCache>
            </c:numRef>
          </c:val>
        </c:ser>
        <c:dLbls>
          <c:showLegendKey val="0"/>
          <c:showVal val="0"/>
          <c:showCatName val="0"/>
          <c:showSerName val="0"/>
          <c:showPercent val="0"/>
          <c:showBubbleSize val="0"/>
        </c:dLbls>
        <c:gapWidth val="219"/>
        <c:overlap val="-27"/>
        <c:axId val="281082570"/>
        <c:axId val="513172491"/>
      </c:barChart>
      <c:catAx>
        <c:axId val="28108257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172491"/>
        <c:crosses val="autoZero"/>
        <c:auto val="1"/>
        <c:lblAlgn val="ctr"/>
        <c:lblOffset val="100"/>
        <c:noMultiLvlLbl val="0"/>
      </c:catAx>
      <c:valAx>
        <c:axId val="5131724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0825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E9FE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2485</Words>
  <Characters>2566</Characters>
  <Lines>0</Lines>
  <Paragraphs>0</Paragraphs>
  <TotalTime>5</TotalTime>
  <ScaleCrop>false</ScaleCrop>
  <LinksUpToDate>false</LinksUpToDate>
  <CharactersWithSpaces>2567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2023-01-11T01:41:00Z</dcterms:created>
  <dc:creator>Administrator</dc:creator>
  <cp:lastModifiedBy>Administrator</cp:lastModifiedBy>
  <dcterms:modified xsi:type="dcterms:W3CDTF">2023-02-09T03:06:34Z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A6B48ED600F543F2A7D57854C1D21A18</vt:lpwstr>
  </property>
</Properties>
</file>