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70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70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bookmarkStart w:id="10" w:name="_GoBack"/>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枣庄高新区</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经济发展局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700" w:lineRule="exact"/>
        <w:ind w:right="0"/>
        <w:jc w:val="center"/>
        <w:textAlignment w:val="auto"/>
        <w:rPr>
          <w:rFonts w:hint="eastAsia"/>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2021年政府信息公开工作年度报告</w:t>
      </w:r>
    </w:p>
    <w:bookmarkEnd w:id="1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380" w:lineRule="exact"/>
        <w:ind w:right="0"/>
        <w:jc w:val="center"/>
        <w:textAlignment w:val="auto"/>
        <w:rPr>
          <w:rFonts w:hint="eastAsia" w:ascii="楷体_GB2312" w:hAnsi="楷体_GB2312" w:eastAsia="楷体_GB2312" w:cs="楷体_GB2312"/>
          <w:b/>
          <w:bCs/>
          <w:i w:val="0"/>
          <w:iCs w:val="0"/>
          <w:caps w:val="0"/>
          <w:color w:val="auto"/>
          <w:spacing w:val="0"/>
          <w:sz w:val="32"/>
          <w:szCs w:val="32"/>
          <w:shd w:val="clear" w:fill="FFFFFF"/>
          <w:lang w:val="en-US" w:eastAsia="zh-CN"/>
        </w:rPr>
      </w:pPr>
      <w:r>
        <w:rPr>
          <w:rFonts w:hint="eastAsia" w:ascii="楷体_GB2312" w:hAnsi="楷体_GB2312" w:eastAsia="楷体_GB2312" w:cs="楷体_GB2312"/>
          <w:b/>
          <w:bCs/>
          <w:i w:val="0"/>
          <w:iCs w:val="0"/>
          <w:caps w:val="0"/>
          <w:color w:val="auto"/>
          <w:spacing w:val="0"/>
          <w:sz w:val="32"/>
          <w:szCs w:val="32"/>
          <w:shd w:val="clear" w:fill="FFFFFF"/>
          <w:lang w:val="en-US" w:eastAsia="zh-CN"/>
        </w:rPr>
        <w:t>2021年1月18日</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i w:val="0"/>
          <w:iCs w:val="0"/>
          <w:caps w:val="0"/>
          <w:color w:val="auto"/>
          <w:spacing w:val="0"/>
          <w:sz w:val="32"/>
          <w:szCs w:val="32"/>
          <w:shd w:val="clear" w:fill="FFFFFF"/>
          <w:lang w:val="en-US" w:eastAsia="zh-CN"/>
        </w:rPr>
        <w:t>枣庄高新区经济发展局</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580" w:lineRule="exact"/>
        <w:ind w:right="0"/>
        <w:jc w:val="both"/>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580" w:lineRule="exact"/>
        <w:ind w:right="0"/>
        <w:jc w:val="center"/>
        <w:textAlignment w:val="auto"/>
        <w:rPr>
          <w:rFonts w:hint="eastAsia"/>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枣庄高新区</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经济发展局</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2021年政府信息公开工作年度报告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fill="FFFFFF"/>
        </w:rPr>
      </w:pPr>
      <w:r>
        <w:rPr>
          <w:rFonts w:ascii="仿宋_GB2312" w:hAnsi="宋体" w:eastAsia="仿宋_GB2312" w:cs="仿宋_GB2312"/>
          <w:i w:val="0"/>
          <w:iCs w:val="0"/>
          <w:caps w:val="0"/>
          <w:color w:val="000000"/>
          <w:spacing w:val="0"/>
          <w:sz w:val="32"/>
          <w:szCs w:val="32"/>
          <w:shd w:val="clear" w:fill="FFFFFF"/>
        </w:rPr>
        <w:t>2021年，高新区经济发展局坚持以习近平新时代中国特色社会主义思想为指导，全面贯彻党的十九大和十九届历次全会精神，认真学习并贯彻落实《中华人民共和国政府信息公开条例》等法律法规，紧紧围绕经济社会发展和群众关注关切问题，坚持以公开促落实、促规范、促服务，推进政务公开工作取得积极成效。本报告所列数据的统计时限自2021年1月1日至2021年12月31日。本报告</w:t>
      </w:r>
      <w:r>
        <w:rPr>
          <w:rFonts w:hint="eastAsia" w:ascii="仿宋_GB2312" w:hAnsi="宋体" w:eastAsia="仿宋_GB2312" w:cs="仿宋_GB2312"/>
          <w:i w:val="0"/>
          <w:iCs w:val="0"/>
          <w:caps w:val="0"/>
          <w:color w:val="000000"/>
          <w:spacing w:val="0"/>
          <w:sz w:val="32"/>
          <w:szCs w:val="32"/>
          <w:shd w:val="clear" w:fill="FFFFFF"/>
        </w:rPr>
        <w:t>在枣庄高新区官网（http://www.zzctp.gov.cn/）“政府信息公开年度报告”专栏公布。如对本年度政府信息公开工作年度报告有疑问，请与枣庄高新区经济发展局综合管理科联系（联系电话:0632-8692622，电子邮箱:sdzzwcl@126.com）。</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总体情况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（一）主动公开工作情况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会议公开方面，2021年共召开9次</w:t>
      </w:r>
      <w:r>
        <w:rPr>
          <w:rFonts w:hint="eastAsia" w:ascii="仿宋_GB2312" w:hAnsi="仿宋_GB2312" w:eastAsia="仿宋_GB2312" w:cs="仿宋_GB2312"/>
          <w:sz w:val="32"/>
          <w:szCs w:val="32"/>
          <w:lang w:val="en-US" w:eastAsia="zh-CN"/>
        </w:rPr>
        <w:t>办公</w:t>
      </w:r>
      <w:r>
        <w:rPr>
          <w:rFonts w:hint="eastAsia" w:ascii="仿宋_GB2312" w:hAnsi="仿宋_GB2312" w:eastAsia="仿宋_GB2312" w:cs="仿宋_GB2312"/>
          <w:sz w:val="32"/>
          <w:szCs w:val="32"/>
        </w:rPr>
        <w:t>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通过高新区官方网站公开9次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ascii="仿宋_GB2312" w:hAnsi="宋体" w:eastAsia="仿宋_GB2312" w:cs="仿宋_GB2312"/>
          <w:i w:val="0"/>
          <w:iCs w:val="0"/>
          <w:caps w:val="0"/>
          <w:color w:val="000000"/>
          <w:spacing w:val="0"/>
          <w:sz w:val="31"/>
          <w:szCs w:val="31"/>
          <w:shd w:val="clear" w:fill="FFFFFF"/>
        </w:rPr>
      </w:pPr>
      <w:r>
        <w:drawing>
          <wp:anchor distT="0" distB="0" distL="114300" distR="114300" simplePos="0" relativeHeight="251659264" behindDoc="1" locked="0" layoutInCell="1" allowOverlap="1">
            <wp:simplePos x="0" y="0"/>
            <wp:positionH relativeFrom="column">
              <wp:posOffset>421640</wp:posOffset>
            </wp:positionH>
            <wp:positionV relativeFrom="paragraph">
              <wp:posOffset>152400</wp:posOffset>
            </wp:positionV>
            <wp:extent cx="4262755" cy="1548130"/>
            <wp:effectExtent l="4445" t="4445" r="19050" b="9525"/>
            <wp:wrapTight wrapText="bothSides">
              <wp:wrapPolygon>
                <wp:start x="-23" y="-62"/>
                <wp:lineTo x="-23" y="21467"/>
                <wp:lineTo x="21503" y="21467"/>
                <wp:lineTo x="21503" y="-62"/>
                <wp:lineTo x="-23" y="-62"/>
              </wp:wrapPolygon>
            </wp:wrapTight>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rPr>
          <w:rFonts w:ascii="仿宋_GB2312" w:hAnsi="宋体" w:eastAsia="仿宋_GB2312" w:cs="仿宋_GB2312"/>
          <w:i w:val="0"/>
          <w:iCs w:val="0"/>
          <w:caps w:val="0"/>
          <w:color w:val="000000"/>
          <w:spacing w:val="0"/>
          <w:sz w:val="31"/>
          <w:szCs w:val="31"/>
          <w:shd w:val="clear" w:fill="FFFFFF"/>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rPr>
          <w:rFonts w:ascii="仿宋_GB2312" w:hAnsi="宋体" w:eastAsia="仿宋_GB2312" w:cs="仿宋_GB2312"/>
          <w:i w:val="0"/>
          <w:iCs w:val="0"/>
          <w:caps w:val="0"/>
          <w:color w:val="000000"/>
          <w:spacing w:val="0"/>
          <w:sz w:val="31"/>
          <w:szCs w:val="31"/>
          <w:shd w:val="clear" w:fill="FFFFFF"/>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rPr>
          <w:rFonts w:ascii="仿宋_GB2312" w:hAnsi="宋体" w:eastAsia="仿宋_GB2312" w:cs="仿宋_GB2312"/>
          <w:i w:val="0"/>
          <w:iCs w:val="0"/>
          <w:caps w:val="0"/>
          <w:color w:val="000000"/>
          <w:spacing w:val="0"/>
          <w:sz w:val="31"/>
          <w:szCs w:val="31"/>
          <w:shd w:val="clear" w:fill="FFFFFF"/>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rPr>
          <w:rFonts w:ascii="仿宋_GB2312" w:hAnsi="宋体" w:eastAsia="仿宋_GB2312" w:cs="仿宋_GB2312"/>
          <w:i w:val="0"/>
          <w:iCs w:val="0"/>
          <w:caps w:val="0"/>
          <w:color w:val="000000"/>
          <w:spacing w:val="0"/>
          <w:sz w:val="31"/>
          <w:szCs w:val="31"/>
          <w:shd w:val="clear" w:fill="FFFFFF"/>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rPr>
          <w:rFonts w:hint="default" w:ascii="仿宋_GB2312" w:hAnsi="宋体" w:eastAsia="仿宋_GB2312" w:cs="仿宋_GB2312"/>
          <w:i w:val="0"/>
          <w:iCs w:val="0"/>
          <w:caps w:val="0"/>
          <w:color w:val="000000"/>
          <w:spacing w:val="0"/>
          <w:sz w:val="31"/>
          <w:szCs w:val="31"/>
          <w:shd w:val="clear" w:fill="FFFFFF"/>
          <w:lang w:val="en-US" w:eastAsia="zh-CN"/>
        </w:rPr>
      </w:pPr>
      <w:r>
        <w:rPr>
          <w:rFonts w:ascii="仿宋_GB2312" w:hAnsi="宋体" w:eastAsia="仿宋_GB2312" w:cs="仿宋_GB2312"/>
          <w:i w:val="0"/>
          <w:iCs w:val="0"/>
          <w:caps w:val="0"/>
          <w:color w:val="000000"/>
          <w:spacing w:val="0"/>
          <w:sz w:val="31"/>
          <w:szCs w:val="31"/>
          <w:shd w:val="clear" w:fill="FFFFFF"/>
        </w:rPr>
        <w:t>其他信息方面，</w:t>
      </w:r>
      <w:r>
        <w:rPr>
          <w:rFonts w:hint="eastAsia" w:ascii="仿宋_GB2312" w:hAnsi="宋体" w:eastAsia="仿宋_GB2312" w:cs="仿宋_GB2312"/>
          <w:i w:val="0"/>
          <w:iCs w:val="0"/>
          <w:caps w:val="0"/>
          <w:color w:val="000000"/>
          <w:spacing w:val="0"/>
          <w:sz w:val="31"/>
          <w:szCs w:val="31"/>
          <w:shd w:val="clear" w:fill="FFFFFF"/>
          <w:lang w:val="en-US" w:eastAsia="zh-CN"/>
        </w:rPr>
        <w:t>对照</w:t>
      </w:r>
      <w:r>
        <w:rPr>
          <w:rFonts w:ascii="仿宋_GB2312" w:hAnsi="宋体" w:eastAsia="仿宋_GB2312" w:cs="仿宋_GB2312"/>
          <w:i w:val="0"/>
          <w:iCs w:val="0"/>
          <w:caps w:val="0"/>
          <w:color w:val="000000"/>
          <w:spacing w:val="0"/>
          <w:sz w:val="31"/>
          <w:szCs w:val="31"/>
          <w:shd w:val="clear" w:fill="FFFFFF"/>
        </w:rPr>
        <w:t>政府信息主动公开基本目录主动公开政府信息</w:t>
      </w:r>
      <w:r>
        <w:rPr>
          <w:rFonts w:hint="eastAsia" w:ascii="仿宋_GB2312" w:hAnsi="宋体" w:eastAsia="仿宋_GB2312" w:cs="仿宋_GB2312"/>
          <w:i w:val="0"/>
          <w:iCs w:val="0"/>
          <w:caps w:val="0"/>
          <w:color w:val="000000"/>
          <w:spacing w:val="0"/>
          <w:sz w:val="31"/>
          <w:szCs w:val="31"/>
          <w:shd w:val="clear" w:fill="FFFFFF"/>
          <w:lang w:val="en-US" w:eastAsia="zh-CN"/>
        </w:rPr>
        <w:t>102</w:t>
      </w:r>
      <w:r>
        <w:rPr>
          <w:rFonts w:ascii="仿宋_GB2312" w:hAnsi="宋体" w:eastAsia="仿宋_GB2312" w:cs="仿宋_GB2312"/>
          <w:i w:val="0"/>
          <w:iCs w:val="0"/>
          <w:caps w:val="0"/>
          <w:color w:val="000000"/>
          <w:spacing w:val="0"/>
          <w:sz w:val="31"/>
          <w:szCs w:val="31"/>
          <w:shd w:val="clear" w:fill="FFFFFF"/>
        </w:rPr>
        <w:t>条；</w:t>
      </w:r>
      <w:r>
        <w:rPr>
          <w:rFonts w:hint="eastAsia" w:ascii="仿宋_GB2312" w:hAnsi="宋体" w:eastAsia="仿宋_GB2312" w:cs="仿宋_GB2312"/>
          <w:i w:val="0"/>
          <w:iCs w:val="0"/>
          <w:caps w:val="0"/>
          <w:color w:val="000000"/>
          <w:spacing w:val="0"/>
          <w:sz w:val="31"/>
          <w:szCs w:val="31"/>
          <w:shd w:val="clear" w:fill="FFFFFF"/>
          <w:lang w:val="en-US" w:eastAsia="zh-CN"/>
        </w:rPr>
        <w:t>及时公开机构职能信息、</w:t>
      </w:r>
      <w:r>
        <w:rPr>
          <w:rFonts w:ascii="仿宋_GB2312" w:hAnsi="宋体" w:eastAsia="仿宋_GB2312" w:cs="仿宋_GB2312"/>
          <w:i w:val="0"/>
          <w:iCs w:val="0"/>
          <w:caps w:val="0"/>
          <w:color w:val="000000"/>
          <w:spacing w:val="0"/>
          <w:sz w:val="31"/>
          <w:szCs w:val="31"/>
          <w:shd w:val="clear" w:fill="FFFFFF"/>
        </w:rPr>
        <w:t>经济运行分析及统计月报</w:t>
      </w:r>
      <w:r>
        <w:rPr>
          <w:rFonts w:hint="eastAsia" w:ascii="仿宋_GB2312" w:hAnsi="宋体" w:eastAsia="仿宋_GB2312" w:cs="仿宋_GB2312"/>
          <w:i w:val="0"/>
          <w:iCs w:val="0"/>
          <w:caps w:val="0"/>
          <w:color w:val="000000"/>
          <w:spacing w:val="0"/>
          <w:sz w:val="31"/>
          <w:szCs w:val="31"/>
          <w:shd w:val="clear" w:fill="FFFFFF"/>
          <w:lang w:eastAsia="zh-CN"/>
        </w:rPr>
        <w:t>，</w:t>
      </w:r>
      <w:r>
        <w:rPr>
          <w:rFonts w:hint="eastAsia" w:ascii="仿宋_GB2312" w:hAnsi="宋体" w:eastAsia="仿宋_GB2312" w:cs="仿宋_GB2312"/>
          <w:i w:val="0"/>
          <w:iCs w:val="0"/>
          <w:caps w:val="0"/>
          <w:color w:val="000000"/>
          <w:spacing w:val="0"/>
          <w:sz w:val="31"/>
          <w:szCs w:val="31"/>
          <w:shd w:val="clear" w:fill="FFFFFF"/>
          <w:lang w:val="en-US" w:eastAsia="zh-CN"/>
        </w:rPr>
        <w:t>高质量开展政府信息公开工作。</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楷体_GB2312" w:hAnsi="楷体_GB2312" w:eastAsia="楷体_GB2312" w:cs="楷体_GB2312"/>
          <w:lang w:eastAsia="zh-CN"/>
        </w:rPr>
      </w:pP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182245</wp:posOffset>
            </wp:positionH>
            <wp:positionV relativeFrom="paragraph">
              <wp:posOffset>5080</wp:posOffset>
            </wp:positionV>
            <wp:extent cx="4939030" cy="1784985"/>
            <wp:effectExtent l="0" t="0" r="13970" b="5715"/>
            <wp:wrapTight wrapText="bothSides">
              <wp:wrapPolygon>
                <wp:start x="0" y="0"/>
                <wp:lineTo x="0" y="21439"/>
                <wp:lineTo x="21494" y="21439"/>
                <wp:lineTo x="21494" y="0"/>
                <wp:lineTo x="0" y="0"/>
              </wp:wrapPolygon>
            </wp:wrapTight>
            <wp:docPr id="2" name="图片 2" descr="2827ed33a79a50ae7d94139c4901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827ed33a79a50ae7d94139c4901aca"/>
                    <pic:cNvPicPr>
                      <a:picLocks noChangeAspect="1"/>
                    </pic:cNvPicPr>
                  </pic:nvPicPr>
                  <pic:blipFill>
                    <a:blip r:embed="rId7"/>
                    <a:stretch>
                      <a:fillRect/>
                    </a:stretch>
                  </pic:blipFill>
                  <pic:spPr>
                    <a:xfrm>
                      <a:off x="0" y="0"/>
                      <a:ext cx="4939030" cy="178498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（二）依申请公开办理情况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ascii="仿宋_GB2312" w:hAnsi="宋体" w:eastAsia="仿宋_GB2312" w:cs="仿宋_GB2312"/>
          <w:i w:val="0"/>
          <w:iCs w:val="0"/>
          <w:caps w:val="0"/>
          <w:color w:val="000000"/>
          <w:spacing w:val="0"/>
          <w:sz w:val="32"/>
          <w:szCs w:val="32"/>
          <w:shd w:val="clear" w:fill="FFFFFF"/>
        </w:rPr>
      </w:pPr>
      <w:r>
        <w:rPr>
          <w:rFonts w:ascii="仿宋_GB2312" w:hAnsi="宋体" w:eastAsia="仿宋_GB2312" w:cs="仿宋_GB2312"/>
          <w:i w:val="0"/>
          <w:iCs w:val="0"/>
          <w:caps w:val="0"/>
          <w:color w:val="000000"/>
          <w:spacing w:val="0"/>
          <w:kern w:val="2"/>
          <w:sz w:val="32"/>
          <w:szCs w:val="32"/>
          <w:shd w:val="clear" w:fill="FFFFFF"/>
          <w:lang w:val="en-US" w:eastAsia="zh-CN" w:bidi="ar-SA"/>
        </w:rPr>
        <w:t>2021年，我局共收到依申请公开件</w:t>
      </w:r>
      <w:r>
        <w:rPr>
          <w:rFonts w:hint="eastAsia" w:ascii="仿宋_GB2312" w:hAnsi="宋体" w:eastAsia="仿宋_GB2312" w:cs="仿宋_GB2312"/>
          <w:i w:val="0"/>
          <w:iCs w:val="0"/>
          <w:caps w:val="0"/>
          <w:color w:val="000000"/>
          <w:spacing w:val="0"/>
          <w:kern w:val="2"/>
          <w:sz w:val="32"/>
          <w:szCs w:val="32"/>
          <w:shd w:val="clear" w:fill="FFFFFF"/>
          <w:lang w:val="en-US" w:eastAsia="zh-CN" w:bidi="ar-SA"/>
        </w:rPr>
        <w:t>2</w:t>
      </w:r>
      <w:r>
        <w:rPr>
          <w:rFonts w:ascii="仿宋_GB2312" w:hAnsi="宋体" w:eastAsia="仿宋_GB2312" w:cs="仿宋_GB2312"/>
          <w:i w:val="0"/>
          <w:iCs w:val="0"/>
          <w:caps w:val="0"/>
          <w:color w:val="000000"/>
          <w:spacing w:val="0"/>
          <w:kern w:val="2"/>
          <w:sz w:val="32"/>
          <w:szCs w:val="32"/>
          <w:shd w:val="clear" w:fill="FFFFFF"/>
          <w:lang w:val="en-US" w:eastAsia="zh-CN" w:bidi="ar-SA"/>
        </w:rPr>
        <w:t>件（</w:t>
      </w:r>
      <w:r>
        <w:rPr>
          <w:rFonts w:hint="eastAsia" w:ascii="仿宋_GB2312" w:hAnsi="宋体" w:eastAsia="仿宋_GB2312" w:cs="仿宋_GB2312"/>
          <w:i w:val="0"/>
          <w:iCs w:val="0"/>
          <w:caps w:val="0"/>
          <w:color w:val="000000"/>
          <w:spacing w:val="0"/>
          <w:kern w:val="2"/>
          <w:sz w:val="32"/>
          <w:szCs w:val="32"/>
          <w:shd w:val="clear" w:fill="FFFFFF"/>
          <w:lang w:val="en-US" w:eastAsia="zh-CN" w:bidi="ar-SA"/>
        </w:rPr>
        <w:t>均为</w:t>
      </w:r>
      <w:r>
        <w:rPr>
          <w:rFonts w:ascii="仿宋_GB2312" w:hAnsi="宋体" w:eastAsia="仿宋_GB2312" w:cs="仿宋_GB2312"/>
          <w:i w:val="0"/>
          <w:iCs w:val="0"/>
          <w:caps w:val="0"/>
          <w:color w:val="000000"/>
          <w:spacing w:val="0"/>
          <w:kern w:val="2"/>
          <w:sz w:val="32"/>
          <w:szCs w:val="32"/>
          <w:shd w:val="clear" w:fill="FFFFFF"/>
          <w:lang w:val="en-US" w:eastAsia="zh-CN" w:bidi="ar-SA"/>
        </w:rPr>
        <w:t>信件），全部按照要求按期给予规范性告知，保障了申请人的知情权和监督权</w:t>
      </w:r>
      <w:r>
        <w:rPr>
          <w:rFonts w:hint="eastAsia" w:ascii="仿宋_GB2312" w:hAnsi="宋体" w:eastAsia="仿宋_GB2312" w:cs="仿宋_GB2312"/>
          <w:i w:val="0"/>
          <w:iCs w:val="0"/>
          <w:caps w:val="0"/>
          <w:color w:val="000000"/>
          <w:spacing w:val="0"/>
          <w:kern w:val="2"/>
          <w:sz w:val="32"/>
          <w:szCs w:val="32"/>
          <w:shd w:val="clear" w:fill="FFFFFF"/>
          <w:lang w:val="en-US" w:eastAsia="zh-CN" w:bidi="ar-SA"/>
        </w:rPr>
        <w:t>。</w:t>
      </w:r>
      <w:r>
        <w:rPr>
          <w:rFonts w:ascii="仿宋_GB2312" w:hAnsi="宋体" w:eastAsia="仿宋_GB2312" w:cs="仿宋_GB2312"/>
          <w:i w:val="0"/>
          <w:iCs w:val="0"/>
          <w:caps w:val="0"/>
          <w:color w:val="000000"/>
          <w:spacing w:val="0"/>
          <w:sz w:val="32"/>
          <w:szCs w:val="32"/>
          <w:shd w:val="clear" w:fill="FFFFFF"/>
        </w:rPr>
        <w:t>无上年度依申请信息公开结转，无因信息公开申请提起行政复议、行政诉讼的情况。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（三）政府信息管理情况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ascii="仿宋_GB2312" w:hAnsi="宋体" w:eastAsia="仿宋_GB2312" w:cs="仿宋_GB2312"/>
          <w:i w:val="0"/>
          <w:iCs w:val="0"/>
          <w:caps w:val="0"/>
          <w:color w:val="000000"/>
          <w:spacing w:val="0"/>
          <w:kern w:val="0"/>
          <w:sz w:val="32"/>
          <w:szCs w:val="32"/>
          <w:shd w:val="clear" w:fill="FFFFFF"/>
          <w:lang w:val="en-US" w:eastAsia="zh-CN" w:bidi="ar"/>
        </w:rPr>
        <w:t>全面贯彻落实《中华人民共和国政府信息公开条例》精神，强化申请公开管理和服务，建立健全体制机制，规范公开流程，扎实推进政府信息公开的各项工作。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（四）政府信息公开平台建设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å¾®è½¯é›…é»‘" w:eastAsia="仿宋_GB2312" w:cs="仿宋_GB2312"/>
          <w:i w:val="0"/>
          <w:iCs w:val="0"/>
          <w:caps w:val="0"/>
          <w:color w:val="000000"/>
          <w:spacing w:val="0"/>
          <w:sz w:val="32"/>
          <w:szCs w:val="32"/>
          <w:shd w:val="clear" w:fill="FFFFFF"/>
          <w:lang w:val="en-US" w:eastAsia="zh-CN"/>
        </w:rPr>
      </w:pPr>
      <w:r>
        <w:rPr>
          <w:rFonts w:ascii="仿宋_GB2312" w:hAnsi="å¾®è½¯é›…é»‘" w:eastAsia="仿宋_GB2312" w:cs="仿宋_GB2312"/>
          <w:i w:val="0"/>
          <w:iCs w:val="0"/>
          <w:caps w:val="0"/>
          <w:color w:val="000000"/>
          <w:spacing w:val="0"/>
          <w:sz w:val="32"/>
          <w:szCs w:val="32"/>
          <w:shd w:val="clear" w:fill="FFFFFF"/>
        </w:rPr>
        <w:t>严格按照政府信息公开目录</w:t>
      </w:r>
      <w:r>
        <w:rPr>
          <w:rFonts w:hint="eastAsia" w:ascii="仿宋_GB2312" w:hAnsi="å¾®è½¯é›…é»‘" w:eastAsia="仿宋_GB2312" w:cs="仿宋_GB2312"/>
          <w:i w:val="0"/>
          <w:iCs w:val="0"/>
          <w:caps w:val="0"/>
          <w:color w:val="000000"/>
          <w:spacing w:val="0"/>
          <w:sz w:val="32"/>
          <w:szCs w:val="32"/>
          <w:shd w:val="clear" w:fill="FFFFFF"/>
          <w:lang w:val="en-US" w:eastAsia="zh-CN"/>
        </w:rPr>
        <w:t>要求，</w:t>
      </w:r>
      <w:r>
        <w:rPr>
          <w:rFonts w:ascii="仿宋_GB2312" w:hAnsi="å¾®è½¯é›…é»‘" w:eastAsia="仿宋_GB2312" w:cs="仿宋_GB2312"/>
          <w:i w:val="0"/>
          <w:iCs w:val="0"/>
          <w:caps w:val="0"/>
          <w:color w:val="000000"/>
          <w:spacing w:val="0"/>
          <w:sz w:val="32"/>
          <w:szCs w:val="32"/>
          <w:shd w:val="clear" w:fill="FFFFFF"/>
        </w:rPr>
        <w:t>依托区政府信息公开网，加强日常信息更新维护，常态化开展信息公开工作</w:t>
      </w:r>
      <w:r>
        <w:rPr>
          <w:rFonts w:hint="eastAsia" w:ascii="仿宋_GB2312" w:hAnsi="å¾®è½¯é›…é»‘" w:eastAsia="仿宋_GB2312" w:cs="仿宋_GB2312"/>
          <w:i w:val="0"/>
          <w:iCs w:val="0"/>
          <w:caps w:val="0"/>
          <w:color w:val="000000"/>
          <w:spacing w:val="0"/>
          <w:sz w:val="32"/>
          <w:szCs w:val="32"/>
          <w:shd w:val="clear" w:fill="FFFFFF"/>
          <w:lang w:eastAsia="zh-CN"/>
        </w:rPr>
        <w:t>，</w:t>
      </w:r>
      <w:r>
        <w:rPr>
          <w:rFonts w:hint="eastAsia" w:ascii="仿宋_GB2312" w:hAnsi="å¾®è½¯é›…é»‘" w:eastAsia="仿宋_GB2312" w:cs="仿宋_GB2312"/>
          <w:i w:val="0"/>
          <w:iCs w:val="0"/>
          <w:caps w:val="0"/>
          <w:color w:val="000000"/>
          <w:spacing w:val="0"/>
          <w:sz w:val="32"/>
          <w:szCs w:val="32"/>
          <w:shd w:val="clear" w:fill="FFFFFF"/>
          <w:lang w:val="en-US" w:eastAsia="zh-CN"/>
        </w:rPr>
        <w:t>确保信息公开时效。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监督保障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å¾®è½¯é›…é»‘" w:eastAsia="仿宋_GB2312" w:cs="仿宋_GB2312"/>
          <w:i w:val="0"/>
          <w:iCs w:val="0"/>
          <w:caps w:val="0"/>
          <w:color w:val="000000"/>
          <w:spacing w:val="0"/>
          <w:sz w:val="32"/>
          <w:szCs w:val="32"/>
          <w:shd w:val="clear" w:fill="FFFFFF"/>
          <w:lang w:val="en-US" w:eastAsia="zh-CN"/>
        </w:rPr>
      </w:pPr>
      <w:r>
        <w:rPr>
          <w:rFonts w:hint="eastAsia" w:ascii="仿宋_GB2312" w:hAnsi="å¾®è½¯é›…é»‘" w:eastAsia="仿宋_GB2312" w:cs="仿宋_GB2312"/>
          <w:i w:val="0"/>
          <w:iCs w:val="0"/>
          <w:caps w:val="0"/>
          <w:color w:val="000000"/>
          <w:spacing w:val="0"/>
          <w:sz w:val="32"/>
          <w:szCs w:val="32"/>
          <w:shd w:val="clear" w:fill="FFFFFF"/>
          <w:lang w:val="en-US" w:eastAsia="zh-CN"/>
        </w:rPr>
        <w:t>按照政务公开工作要求，主动担当作为，组织专门力量，采取有效措施，推进政务公开工作开展。圆满完成政务公开工作指导、人员机构设置、业务培训等。</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黑体" w:hAnsi="宋体" w:eastAsia="黑体" w:cs="黑体"/>
          <w:i w:val="0"/>
          <w:iCs w:val="0"/>
          <w:caps w:val="0"/>
          <w:color w:val="000000"/>
          <w:spacing w:val="0"/>
          <w:sz w:val="32"/>
          <w:szCs w:val="32"/>
          <w:shd w:val="clear" w:fill="FFFFFF"/>
        </w:rPr>
      </w:pPr>
      <w:r>
        <w:rPr>
          <w:rFonts w:ascii="黑体" w:hAnsi="宋体" w:eastAsia="黑体" w:cs="黑体"/>
          <w:i w:val="0"/>
          <w:iCs w:val="0"/>
          <w:caps w:val="0"/>
          <w:color w:val="000000"/>
          <w:spacing w:val="0"/>
          <w:sz w:val="32"/>
          <w:szCs w:val="32"/>
          <w:shd w:val="clear" w:fill="FFFFFF"/>
        </w:rPr>
        <w:t>主动公开政府信息情况</w:t>
      </w:r>
    </w:p>
    <w:tbl>
      <w:tblPr>
        <w:tblStyle w:val="6"/>
        <w:tblW w:w="8520" w:type="dxa"/>
        <w:tblInd w:w="0" w:type="dxa"/>
        <w:tblLayout w:type="fixed"/>
        <w:tblCellMar>
          <w:top w:w="0" w:type="dxa"/>
          <w:left w:w="108" w:type="dxa"/>
          <w:bottom w:w="0" w:type="dxa"/>
          <w:right w:w="108" w:type="dxa"/>
        </w:tblCellMar>
      </w:tblPr>
      <w:tblGrid>
        <w:gridCol w:w="2361"/>
        <w:gridCol w:w="2361"/>
        <w:gridCol w:w="2361"/>
        <w:gridCol w:w="1437"/>
      </w:tblGrid>
      <w:tr>
        <w:tblPrEx>
          <w:tblCellMar>
            <w:top w:w="0" w:type="dxa"/>
            <w:left w:w="108" w:type="dxa"/>
            <w:bottom w:w="0" w:type="dxa"/>
            <w:right w:w="108" w:type="dxa"/>
          </w:tblCellMar>
        </w:tblPrEx>
        <w:trPr>
          <w:trHeight w:val="1030" w:hRule="atLeast"/>
        </w:trPr>
        <w:tc>
          <w:tcPr>
            <w:tcW w:w="852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651" w:hRule="atLeast"/>
        </w:trPr>
        <w:tc>
          <w:tcPr>
            <w:tcW w:w="236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信息内容</w:t>
            </w:r>
          </w:p>
        </w:tc>
        <w:tc>
          <w:tcPr>
            <w:tcW w:w="236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本年制发件数</w:t>
            </w:r>
          </w:p>
        </w:tc>
        <w:tc>
          <w:tcPr>
            <w:tcW w:w="236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本年废止件数</w:t>
            </w:r>
          </w:p>
        </w:tc>
        <w:tc>
          <w:tcPr>
            <w:tcW w:w="1437"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现行有效件数</w:t>
            </w:r>
          </w:p>
        </w:tc>
      </w:tr>
      <w:tr>
        <w:tblPrEx>
          <w:tblCellMar>
            <w:top w:w="0" w:type="dxa"/>
            <w:left w:w="108" w:type="dxa"/>
            <w:bottom w:w="0" w:type="dxa"/>
            <w:right w:w="108" w:type="dxa"/>
          </w:tblCellMar>
        </w:tblPrEx>
        <w:trPr>
          <w:trHeight w:val="611" w:hRule="atLeast"/>
        </w:trPr>
        <w:tc>
          <w:tcPr>
            <w:tcW w:w="236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规章</w:t>
            </w:r>
          </w:p>
        </w:tc>
        <w:tc>
          <w:tcPr>
            <w:tcW w:w="2361"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val="en-US" w:eastAsia="zh-CN"/>
              </w:rPr>
              <w:t>0</w:t>
            </w:r>
          </w:p>
        </w:tc>
        <w:tc>
          <w:tcPr>
            <w:tcW w:w="236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c>
          <w:tcPr>
            <w:tcW w:w="1437"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000000"/>
                <w:kern w:val="0"/>
                <w:sz w:val="18"/>
                <w:szCs w:val="18"/>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632" w:hRule="atLeast"/>
        </w:trPr>
        <w:tc>
          <w:tcPr>
            <w:tcW w:w="236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行政规范性文件</w:t>
            </w:r>
          </w:p>
        </w:tc>
        <w:tc>
          <w:tcPr>
            <w:tcW w:w="236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c>
          <w:tcPr>
            <w:tcW w:w="236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c>
          <w:tcPr>
            <w:tcW w:w="1437"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000000"/>
                <w:kern w:val="0"/>
                <w:sz w:val="18"/>
                <w:szCs w:val="18"/>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562" w:hRule="atLeast"/>
        </w:trPr>
        <w:tc>
          <w:tcPr>
            <w:tcW w:w="852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第二十条第（五）项</w:t>
            </w:r>
          </w:p>
        </w:tc>
      </w:tr>
      <w:tr>
        <w:tblPrEx>
          <w:tblCellMar>
            <w:top w:w="0" w:type="dxa"/>
            <w:left w:w="108" w:type="dxa"/>
            <w:bottom w:w="0" w:type="dxa"/>
            <w:right w:w="108" w:type="dxa"/>
          </w:tblCellMar>
        </w:tblPrEx>
        <w:trPr>
          <w:trHeight w:val="692" w:hRule="atLeast"/>
        </w:trPr>
        <w:tc>
          <w:tcPr>
            <w:tcW w:w="236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信息内容</w:t>
            </w:r>
          </w:p>
        </w:tc>
        <w:tc>
          <w:tcPr>
            <w:tcW w:w="6159"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本年处理决定数量</w:t>
            </w:r>
          </w:p>
        </w:tc>
      </w:tr>
      <w:tr>
        <w:tblPrEx>
          <w:tblCellMar>
            <w:top w:w="0" w:type="dxa"/>
            <w:left w:w="108" w:type="dxa"/>
            <w:bottom w:w="0" w:type="dxa"/>
            <w:right w:w="108" w:type="dxa"/>
          </w:tblCellMar>
        </w:tblPrEx>
        <w:trPr>
          <w:trHeight w:val="570" w:hRule="atLeast"/>
        </w:trPr>
        <w:tc>
          <w:tcPr>
            <w:tcW w:w="236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行政许可</w:t>
            </w:r>
          </w:p>
        </w:tc>
        <w:tc>
          <w:tcPr>
            <w:tcW w:w="6159"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kern w:val="0"/>
                <w:sz w:val="18"/>
                <w:szCs w:val="18"/>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965" w:hRule="atLeast"/>
        </w:trPr>
        <w:tc>
          <w:tcPr>
            <w:tcW w:w="852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第二十条第（六）项</w:t>
            </w:r>
          </w:p>
        </w:tc>
      </w:tr>
      <w:tr>
        <w:tblPrEx>
          <w:tblCellMar>
            <w:top w:w="0" w:type="dxa"/>
            <w:left w:w="108" w:type="dxa"/>
            <w:bottom w:w="0" w:type="dxa"/>
            <w:right w:w="108" w:type="dxa"/>
          </w:tblCellMar>
        </w:tblPrEx>
        <w:trPr>
          <w:trHeight w:val="709" w:hRule="atLeast"/>
        </w:trPr>
        <w:tc>
          <w:tcPr>
            <w:tcW w:w="236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信息内容</w:t>
            </w:r>
          </w:p>
        </w:tc>
        <w:tc>
          <w:tcPr>
            <w:tcW w:w="6159"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本年处理决定数量</w:t>
            </w:r>
          </w:p>
        </w:tc>
      </w:tr>
      <w:tr>
        <w:tblPrEx>
          <w:tblCellMar>
            <w:top w:w="0" w:type="dxa"/>
            <w:left w:w="108" w:type="dxa"/>
            <w:bottom w:w="0" w:type="dxa"/>
            <w:right w:w="108" w:type="dxa"/>
          </w:tblCellMar>
        </w:tblPrEx>
        <w:trPr>
          <w:trHeight w:val="693" w:hRule="atLeast"/>
        </w:trPr>
        <w:tc>
          <w:tcPr>
            <w:tcW w:w="236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行政处罚</w:t>
            </w:r>
          </w:p>
        </w:tc>
        <w:tc>
          <w:tcPr>
            <w:tcW w:w="6159"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628" w:hRule="atLeast"/>
        </w:trPr>
        <w:tc>
          <w:tcPr>
            <w:tcW w:w="236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行政强制</w:t>
            </w:r>
          </w:p>
        </w:tc>
        <w:tc>
          <w:tcPr>
            <w:tcW w:w="6159"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r>
      <w:tr>
        <w:tblPrEx>
          <w:tblCellMar>
            <w:top w:w="0" w:type="dxa"/>
            <w:left w:w="108" w:type="dxa"/>
            <w:bottom w:w="0" w:type="dxa"/>
            <w:right w:w="108" w:type="dxa"/>
          </w:tblCellMar>
        </w:tblPrEx>
        <w:trPr>
          <w:trHeight w:val="599" w:hRule="atLeast"/>
        </w:trPr>
        <w:tc>
          <w:tcPr>
            <w:tcW w:w="852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第二十条第（八）项</w:t>
            </w:r>
          </w:p>
        </w:tc>
      </w:tr>
      <w:tr>
        <w:tblPrEx>
          <w:tblCellMar>
            <w:top w:w="0" w:type="dxa"/>
            <w:left w:w="108" w:type="dxa"/>
            <w:bottom w:w="0" w:type="dxa"/>
            <w:right w:w="108" w:type="dxa"/>
          </w:tblCellMar>
        </w:tblPrEx>
        <w:trPr>
          <w:trHeight w:val="1349" w:hRule="atLeast"/>
        </w:trPr>
        <w:tc>
          <w:tcPr>
            <w:tcW w:w="236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信息内容</w:t>
            </w:r>
          </w:p>
        </w:tc>
        <w:tc>
          <w:tcPr>
            <w:tcW w:w="6159"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本年收费金额（单位：万元）</w:t>
            </w:r>
          </w:p>
        </w:tc>
      </w:tr>
      <w:tr>
        <w:tblPrEx>
          <w:tblCellMar>
            <w:top w:w="0" w:type="dxa"/>
            <w:left w:w="108" w:type="dxa"/>
            <w:bottom w:w="0" w:type="dxa"/>
            <w:right w:w="108" w:type="dxa"/>
          </w:tblCellMar>
        </w:tblPrEx>
        <w:trPr>
          <w:trHeight w:val="1729" w:hRule="atLeast"/>
        </w:trPr>
        <w:tc>
          <w:tcPr>
            <w:tcW w:w="236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行政事业性收费</w:t>
            </w:r>
          </w:p>
        </w:tc>
        <w:tc>
          <w:tcPr>
            <w:tcW w:w="6159"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kern w:val="0"/>
                <w:sz w:val="18"/>
                <w:szCs w:val="18"/>
              </w:rPr>
            </w:pPr>
            <w:r>
              <w:rPr>
                <w:rFonts w:hint="eastAsia" w:ascii="仿宋_GB2312" w:hAnsi="宋体" w:eastAsia="仿宋_GB2312" w:cs="宋体"/>
                <w:color w:val="000000"/>
                <w:kern w:val="0"/>
                <w:sz w:val="18"/>
                <w:szCs w:val="18"/>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宋体" w:eastAsia="黑体" w:cs="黑体"/>
          <w:i w:val="0"/>
          <w:iCs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黑体" w:hAnsi="宋体" w:eastAsia="黑体" w:cs="黑体"/>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lang w:val="en-US" w:eastAsia="zh-CN"/>
        </w:rPr>
        <w:t>三、</w:t>
      </w:r>
      <w:r>
        <w:rPr>
          <w:rFonts w:ascii="黑体" w:hAnsi="宋体" w:eastAsia="黑体" w:cs="黑体"/>
          <w:i w:val="0"/>
          <w:iCs w:val="0"/>
          <w:caps w:val="0"/>
          <w:color w:val="000000"/>
          <w:spacing w:val="0"/>
          <w:sz w:val="32"/>
          <w:szCs w:val="32"/>
          <w:shd w:val="clear" w:fill="FFFFFF"/>
        </w:rPr>
        <w:t>收到和处理政府信息公开申请情况</w:t>
      </w:r>
    </w:p>
    <w:tbl>
      <w:tblPr>
        <w:tblStyle w:val="6"/>
        <w:tblW w:w="96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03"/>
        <w:gridCol w:w="1649"/>
        <w:gridCol w:w="2889"/>
        <w:gridCol w:w="804"/>
        <w:gridCol w:w="549"/>
        <w:gridCol w:w="549"/>
        <w:gridCol w:w="708"/>
        <w:gridCol w:w="685"/>
        <w:gridCol w:w="555"/>
        <w:gridCol w:w="8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4941"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 w:val="18"/>
                <w:szCs w:val="18"/>
              </w:rPr>
            </w:pPr>
            <w:r>
              <w:rPr>
                <w:rFonts w:hint="eastAsia" w:ascii="楷体_GB2312" w:hAnsi="黑体" w:eastAsia="楷体_GB2312"/>
                <w:kern w:val="0"/>
                <w:sz w:val="18"/>
                <w:szCs w:val="18"/>
              </w:rPr>
              <w:t>（本列数据的勾稽关系为：第一项加第二项之和，</w:t>
            </w:r>
          </w:p>
          <w:p>
            <w:pPr>
              <w:widowControl/>
              <w:jc w:val="center"/>
              <w:rPr>
                <w:rFonts w:ascii="仿宋_GB2312" w:hAnsi="Times New Roman" w:eastAsia="仿宋_GB2312"/>
                <w:sz w:val="18"/>
                <w:szCs w:val="18"/>
              </w:rPr>
            </w:pPr>
            <w:r>
              <w:rPr>
                <w:rFonts w:hint="eastAsia" w:ascii="楷体_GB2312" w:hAnsi="黑体" w:eastAsia="楷体_GB2312"/>
                <w:kern w:val="0"/>
                <w:sz w:val="18"/>
                <w:szCs w:val="18"/>
              </w:rPr>
              <w:t>等于第三项加第四项之和）</w:t>
            </w:r>
          </w:p>
        </w:tc>
        <w:tc>
          <w:tcPr>
            <w:tcW w:w="4678" w:type="dxa"/>
            <w:gridSpan w:val="7"/>
            <w:shd w:val="clear" w:color="auto" w:fill="auto"/>
            <w:tcMar>
              <w:left w:w="108" w:type="dxa"/>
              <w:right w:w="108" w:type="dxa"/>
            </w:tcMar>
            <w:vAlign w:val="center"/>
          </w:tcPr>
          <w:p>
            <w:pPr>
              <w:widowControl/>
              <w:spacing w:line="320" w:lineRule="exact"/>
              <w:jc w:val="center"/>
              <w:rPr>
                <w:rFonts w:ascii="黑体" w:hAnsi="黑体" w:eastAsia="黑体"/>
                <w:sz w:val="18"/>
                <w:szCs w:val="18"/>
              </w:rPr>
            </w:pPr>
            <w:r>
              <w:rPr>
                <w:rFonts w:hint="eastAsia" w:ascii="黑体" w:hAnsi="黑体" w:eastAsia="黑体"/>
                <w:kern w:val="0"/>
                <w:sz w:val="18"/>
                <w:szCs w:val="18"/>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4941" w:type="dxa"/>
            <w:gridSpan w:val="3"/>
            <w:vMerge w:val="continue"/>
            <w:shd w:val="clear" w:color="auto" w:fill="auto"/>
            <w:tcMar>
              <w:left w:w="108" w:type="dxa"/>
              <w:right w:w="108" w:type="dxa"/>
            </w:tcMar>
            <w:vAlign w:val="center"/>
          </w:tcPr>
          <w:p>
            <w:pPr>
              <w:jc w:val="center"/>
              <w:rPr>
                <w:rFonts w:ascii="仿宋_GB2312" w:hAnsi="Times New Roman" w:eastAsia="仿宋_GB2312"/>
                <w:sz w:val="18"/>
                <w:szCs w:val="18"/>
              </w:rPr>
            </w:pPr>
          </w:p>
        </w:tc>
        <w:tc>
          <w:tcPr>
            <w:tcW w:w="804" w:type="dxa"/>
            <w:vMerge w:val="restart"/>
            <w:shd w:val="clear" w:color="auto" w:fill="auto"/>
            <w:tcMar>
              <w:left w:w="108" w:type="dxa"/>
              <w:right w:w="108" w:type="dxa"/>
            </w:tcMar>
            <w:vAlign w:val="center"/>
          </w:tcPr>
          <w:p>
            <w:pPr>
              <w:widowControl/>
              <w:jc w:val="center"/>
              <w:rPr>
                <w:rFonts w:ascii="黑体" w:hAnsi="黑体" w:eastAsia="黑体"/>
                <w:sz w:val="18"/>
                <w:szCs w:val="18"/>
              </w:rPr>
            </w:pPr>
            <w:r>
              <w:rPr>
                <w:rFonts w:hint="eastAsia" w:ascii="黑体" w:hAnsi="黑体" w:eastAsia="黑体"/>
                <w:kern w:val="0"/>
                <w:sz w:val="18"/>
                <w:szCs w:val="18"/>
              </w:rPr>
              <w:t>自然人</w:t>
            </w:r>
          </w:p>
        </w:tc>
        <w:tc>
          <w:tcPr>
            <w:tcW w:w="3046" w:type="dxa"/>
            <w:gridSpan w:val="5"/>
            <w:shd w:val="clear" w:color="auto" w:fill="auto"/>
            <w:tcMar>
              <w:left w:w="108" w:type="dxa"/>
              <w:right w:w="108" w:type="dxa"/>
            </w:tcMar>
            <w:vAlign w:val="center"/>
          </w:tcPr>
          <w:p>
            <w:pPr>
              <w:widowControl/>
              <w:spacing w:line="320" w:lineRule="exact"/>
              <w:jc w:val="center"/>
              <w:rPr>
                <w:rFonts w:ascii="黑体" w:hAnsi="黑体" w:eastAsia="黑体"/>
                <w:sz w:val="18"/>
                <w:szCs w:val="18"/>
              </w:rPr>
            </w:pPr>
            <w:r>
              <w:rPr>
                <w:rFonts w:hint="eastAsia" w:ascii="黑体" w:hAnsi="黑体" w:eastAsia="黑体"/>
                <w:kern w:val="0"/>
                <w:sz w:val="18"/>
                <w:szCs w:val="18"/>
              </w:rPr>
              <w:t>法人或其他组织</w:t>
            </w:r>
          </w:p>
        </w:tc>
        <w:tc>
          <w:tcPr>
            <w:tcW w:w="828" w:type="dxa"/>
            <w:vMerge w:val="restart"/>
            <w:shd w:val="clear" w:color="auto" w:fill="auto"/>
            <w:tcMar>
              <w:left w:w="108" w:type="dxa"/>
              <w:right w:w="108" w:type="dxa"/>
            </w:tcMar>
            <w:vAlign w:val="center"/>
          </w:tcPr>
          <w:p>
            <w:pPr>
              <w:widowControl/>
              <w:jc w:val="center"/>
              <w:rPr>
                <w:rFonts w:ascii="黑体" w:hAnsi="黑体" w:eastAsia="黑体"/>
                <w:sz w:val="18"/>
                <w:szCs w:val="18"/>
              </w:rPr>
            </w:pPr>
            <w:r>
              <w:rPr>
                <w:rFonts w:hint="eastAsia" w:ascii="黑体" w:hAnsi="黑体" w:eastAsia="黑体"/>
                <w:kern w:val="0"/>
                <w:sz w:val="18"/>
                <w:szCs w:val="18"/>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4941" w:type="dxa"/>
            <w:gridSpan w:val="3"/>
            <w:vMerge w:val="continue"/>
            <w:shd w:val="clear" w:color="auto" w:fill="auto"/>
            <w:tcMar>
              <w:left w:w="108" w:type="dxa"/>
              <w:right w:w="108" w:type="dxa"/>
            </w:tcMar>
            <w:vAlign w:val="center"/>
          </w:tcPr>
          <w:p>
            <w:pPr>
              <w:jc w:val="center"/>
              <w:rPr>
                <w:rFonts w:ascii="仿宋_GB2312" w:hAnsi="Times New Roman" w:eastAsia="仿宋_GB2312"/>
                <w:sz w:val="18"/>
                <w:szCs w:val="18"/>
              </w:rPr>
            </w:pPr>
          </w:p>
        </w:tc>
        <w:tc>
          <w:tcPr>
            <w:tcW w:w="804" w:type="dxa"/>
            <w:vMerge w:val="continue"/>
            <w:shd w:val="clear" w:color="auto" w:fill="auto"/>
            <w:tcMar>
              <w:left w:w="108" w:type="dxa"/>
              <w:right w:w="108" w:type="dxa"/>
            </w:tcMar>
            <w:vAlign w:val="center"/>
          </w:tcPr>
          <w:p>
            <w:pPr>
              <w:jc w:val="center"/>
              <w:rPr>
                <w:rFonts w:ascii="黑体" w:hAnsi="黑体" w:eastAsia="黑体"/>
                <w:sz w:val="18"/>
                <w:szCs w:val="18"/>
              </w:rPr>
            </w:pPr>
          </w:p>
        </w:tc>
        <w:tc>
          <w:tcPr>
            <w:tcW w:w="549"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 w:val="18"/>
                <w:szCs w:val="18"/>
              </w:rPr>
            </w:pPr>
            <w:r>
              <w:rPr>
                <w:rFonts w:hint="eastAsia" w:ascii="黑体" w:hAnsi="黑体" w:eastAsia="黑体"/>
                <w:kern w:val="0"/>
                <w:sz w:val="18"/>
                <w:szCs w:val="18"/>
              </w:rPr>
              <w:t>商业企业</w:t>
            </w:r>
          </w:p>
        </w:tc>
        <w:tc>
          <w:tcPr>
            <w:tcW w:w="549"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 w:val="18"/>
                <w:szCs w:val="18"/>
              </w:rPr>
            </w:pPr>
            <w:r>
              <w:rPr>
                <w:rFonts w:hint="eastAsia" w:ascii="黑体" w:hAnsi="黑体" w:eastAsia="黑体"/>
                <w:kern w:val="0"/>
                <w:sz w:val="18"/>
                <w:szCs w:val="18"/>
              </w:rPr>
              <w:t>科研机构</w:t>
            </w:r>
          </w:p>
        </w:tc>
        <w:tc>
          <w:tcPr>
            <w:tcW w:w="708"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 w:val="18"/>
                <w:szCs w:val="18"/>
              </w:rPr>
            </w:pPr>
            <w:r>
              <w:rPr>
                <w:rFonts w:hint="eastAsia" w:ascii="黑体" w:hAnsi="黑体" w:eastAsia="黑体"/>
                <w:kern w:val="0"/>
                <w:sz w:val="18"/>
                <w:szCs w:val="18"/>
              </w:rPr>
              <w:t>社会公益组织</w:t>
            </w:r>
          </w:p>
        </w:tc>
        <w:tc>
          <w:tcPr>
            <w:tcW w:w="68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 w:val="18"/>
                <w:szCs w:val="18"/>
              </w:rPr>
            </w:pPr>
            <w:r>
              <w:rPr>
                <w:rFonts w:hint="eastAsia" w:ascii="黑体" w:hAnsi="黑体" w:eastAsia="黑体"/>
                <w:kern w:val="0"/>
                <w:sz w:val="18"/>
                <w:szCs w:val="18"/>
              </w:rPr>
              <w:t>法律服务机构</w:t>
            </w:r>
          </w:p>
        </w:tc>
        <w:tc>
          <w:tcPr>
            <w:tcW w:w="55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 w:val="18"/>
                <w:szCs w:val="18"/>
              </w:rPr>
            </w:pPr>
            <w:r>
              <w:rPr>
                <w:rFonts w:hint="eastAsia" w:ascii="黑体" w:hAnsi="黑体" w:eastAsia="黑体"/>
                <w:kern w:val="0"/>
                <w:sz w:val="18"/>
                <w:szCs w:val="18"/>
              </w:rPr>
              <w:t>其他</w:t>
            </w:r>
          </w:p>
        </w:tc>
        <w:tc>
          <w:tcPr>
            <w:tcW w:w="828" w:type="dxa"/>
            <w:vMerge w:val="continue"/>
            <w:shd w:val="clear" w:color="auto" w:fill="auto"/>
            <w:tcMar>
              <w:left w:w="108" w:type="dxa"/>
              <w:right w:w="108" w:type="dxa"/>
            </w:tcMar>
            <w:vAlign w:val="center"/>
          </w:tcPr>
          <w:p>
            <w:pPr>
              <w:jc w:val="center"/>
              <w:rPr>
                <w:rFonts w:ascii="仿宋_GB2312" w:hAnsi="Times New Roman"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941" w:type="dxa"/>
            <w:gridSpan w:val="3"/>
            <w:shd w:val="clear" w:color="auto" w:fill="auto"/>
            <w:tcMar>
              <w:left w:w="108" w:type="dxa"/>
              <w:right w:w="108" w:type="dxa"/>
            </w:tcMar>
            <w:vAlign w:val="center"/>
          </w:tcPr>
          <w:p>
            <w:pPr>
              <w:widowControl/>
              <w:rPr>
                <w:rFonts w:ascii="黑体" w:hAnsi="黑体" w:eastAsia="黑体"/>
                <w:sz w:val="18"/>
                <w:szCs w:val="18"/>
              </w:rPr>
            </w:pPr>
            <w:r>
              <w:rPr>
                <w:rFonts w:hint="eastAsia" w:ascii="黑体" w:hAnsi="黑体" w:eastAsia="黑体"/>
                <w:kern w:val="0"/>
                <w:sz w:val="18"/>
                <w:szCs w:val="18"/>
              </w:rPr>
              <w:t>一、</w:t>
            </w:r>
            <w:bookmarkStart w:id="0" w:name="_Hlk66973412"/>
            <w:r>
              <w:rPr>
                <w:rFonts w:hint="eastAsia" w:ascii="黑体" w:hAnsi="黑体" w:eastAsia="黑体"/>
                <w:kern w:val="0"/>
                <w:sz w:val="18"/>
                <w:szCs w:val="18"/>
              </w:rPr>
              <w:t>本年新收政府信息公开申请数量</w:t>
            </w:r>
            <w:bookmarkEnd w:id="0"/>
          </w:p>
        </w:tc>
        <w:tc>
          <w:tcPr>
            <w:tcW w:w="804" w:type="dxa"/>
            <w:shd w:val="clear" w:color="auto" w:fill="auto"/>
            <w:tcMar>
              <w:left w:w="108" w:type="dxa"/>
              <w:right w:w="108" w:type="dxa"/>
            </w:tcMar>
            <w:vAlign w:val="center"/>
          </w:tcPr>
          <w:p>
            <w:pPr>
              <w:widowControl/>
              <w:spacing w:after="180"/>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w:t>
            </w:r>
          </w:p>
        </w:tc>
        <w:tc>
          <w:tcPr>
            <w:tcW w:w="54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941" w:type="dxa"/>
            <w:gridSpan w:val="3"/>
            <w:shd w:val="clear" w:color="auto" w:fill="auto"/>
            <w:tcMar>
              <w:left w:w="108" w:type="dxa"/>
              <w:right w:w="108" w:type="dxa"/>
            </w:tcMar>
            <w:vAlign w:val="center"/>
          </w:tcPr>
          <w:p>
            <w:pPr>
              <w:widowControl/>
              <w:rPr>
                <w:rFonts w:ascii="黑体" w:hAnsi="黑体" w:eastAsia="黑体"/>
                <w:sz w:val="18"/>
                <w:szCs w:val="18"/>
              </w:rPr>
            </w:pPr>
            <w:r>
              <w:rPr>
                <w:rFonts w:hint="eastAsia" w:ascii="黑体" w:hAnsi="黑体" w:eastAsia="黑体"/>
                <w:kern w:val="0"/>
                <w:sz w:val="18"/>
                <w:szCs w:val="18"/>
              </w:rPr>
              <w:t>二、上年结转政府信息公开申请数量</w:t>
            </w:r>
          </w:p>
        </w:tc>
        <w:tc>
          <w:tcPr>
            <w:tcW w:w="804"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03" w:type="dxa"/>
            <w:vMerge w:val="restart"/>
            <w:shd w:val="clear" w:color="auto" w:fill="auto"/>
            <w:tcMar>
              <w:left w:w="108" w:type="dxa"/>
              <w:right w:w="108" w:type="dxa"/>
            </w:tcMar>
            <w:vAlign w:val="center"/>
          </w:tcPr>
          <w:p>
            <w:pPr>
              <w:widowControl/>
              <w:spacing w:after="180"/>
              <w:rPr>
                <w:rFonts w:ascii="黑体" w:hAnsi="黑体" w:eastAsia="黑体"/>
                <w:sz w:val="18"/>
                <w:szCs w:val="18"/>
              </w:rPr>
            </w:pPr>
            <w:r>
              <w:rPr>
                <w:rFonts w:hint="eastAsia" w:ascii="黑体" w:hAnsi="黑体" w:eastAsia="黑体"/>
                <w:kern w:val="0"/>
                <w:sz w:val="18"/>
                <w:szCs w:val="18"/>
              </w:rPr>
              <w:t>三、本年度办理结果</w:t>
            </w:r>
          </w:p>
        </w:tc>
        <w:tc>
          <w:tcPr>
            <w:tcW w:w="4538" w:type="dxa"/>
            <w:gridSpan w:val="2"/>
            <w:shd w:val="clear" w:color="auto" w:fill="auto"/>
            <w:tcMar>
              <w:left w:w="108" w:type="dxa"/>
              <w:right w:w="108" w:type="dxa"/>
            </w:tcMar>
            <w:vAlign w:val="center"/>
          </w:tcPr>
          <w:p>
            <w:pPr>
              <w:widowControl/>
              <w:rPr>
                <w:rFonts w:ascii="黑体" w:hAnsi="黑体" w:eastAsia="黑体"/>
                <w:sz w:val="18"/>
                <w:szCs w:val="18"/>
              </w:rPr>
            </w:pPr>
            <w:r>
              <w:rPr>
                <w:rFonts w:hint="eastAsia" w:ascii="黑体" w:hAnsi="黑体" w:eastAsia="黑体"/>
                <w:kern w:val="0"/>
                <w:sz w:val="18"/>
                <w:szCs w:val="18"/>
              </w:rPr>
              <w:t>（一）予以公开</w:t>
            </w:r>
          </w:p>
        </w:tc>
        <w:tc>
          <w:tcPr>
            <w:tcW w:w="804"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403" w:type="dxa"/>
            <w:vMerge w:val="continue"/>
            <w:shd w:val="clear" w:color="auto" w:fill="auto"/>
            <w:tcMar>
              <w:left w:w="108" w:type="dxa"/>
              <w:right w:w="108" w:type="dxa"/>
            </w:tcMar>
            <w:vAlign w:val="center"/>
          </w:tcPr>
          <w:p>
            <w:pPr>
              <w:rPr>
                <w:rFonts w:ascii="黑体" w:hAnsi="黑体" w:eastAsia="黑体"/>
                <w:sz w:val="18"/>
                <w:szCs w:val="18"/>
              </w:rPr>
            </w:pPr>
          </w:p>
        </w:tc>
        <w:tc>
          <w:tcPr>
            <w:tcW w:w="4538" w:type="dxa"/>
            <w:gridSpan w:val="2"/>
            <w:shd w:val="clear" w:color="auto" w:fill="auto"/>
            <w:tcMar>
              <w:left w:w="108" w:type="dxa"/>
              <w:right w:w="108" w:type="dxa"/>
            </w:tcMar>
            <w:vAlign w:val="center"/>
          </w:tcPr>
          <w:p>
            <w:pPr>
              <w:widowControl/>
              <w:rPr>
                <w:rFonts w:ascii="黑体" w:hAnsi="黑体" w:eastAsia="黑体"/>
                <w:sz w:val="18"/>
                <w:szCs w:val="18"/>
              </w:rPr>
            </w:pPr>
            <w:r>
              <w:rPr>
                <w:rFonts w:hint="eastAsia" w:ascii="黑体" w:hAnsi="黑体" w:eastAsia="黑体"/>
                <w:kern w:val="0"/>
                <w:sz w:val="18"/>
                <w:szCs w:val="18"/>
              </w:rPr>
              <w:t>（二）部分公开（</w:t>
            </w:r>
            <w:bookmarkStart w:id="1" w:name="_Hlk66973981"/>
            <w:r>
              <w:rPr>
                <w:rFonts w:hint="eastAsia" w:ascii="黑体" w:hAnsi="黑体" w:eastAsia="黑体"/>
                <w:kern w:val="0"/>
                <w:sz w:val="18"/>
                <w:szCs w:val="18"/>
              </w:rPr>
              <w:t>区分处理的，只计这一情形，不计其他情形</w:t>
            </w:r>
            <w:bookmarkEnd w:id="1"/>
            <w:r>
              <w:rPr>
                <w:rFonts w:hint="eastAsia" w:ascii="黑体" w:hAnsi="黑体" w:eastAsia="黑体"/>
                <w:kern w:val="0"/>
                <w:sz w:val="18"/>
                <w:szCs w:val="18"/>
              </w:rPr>
              <w:t>）</w:t>
            </w:r>
          </w:p>
        </w:tc>
        <w:tc>
          <w:tcPr>
            <w:tcW w:w="804" w:type="dxa"/>
            <w:shd w:val="clear" w:color="auto" w:fill="auto"/>
            <w:tcMar>
              <w:left w:w="108" w:type="dxa"/>
              <w:right w:w="108" w:type="dxa"/>
            </w:tcMar>
            <w:vAlign w:val="center"/>
          </w:tcPr>
          <w:p>
            <w:pPr>
              <w:widowControl/>
              <w:spacing w:after="180"/>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03" w:type="dxa"/>
            <w:vMerge w:val="continue"/>
            <w:shd w:val="clear" w:color="auto" w:fill="auto"/>
            <w:tcMar>
              <w:left w:w="108" w:type="dxa"/>
              <w:right w:w="108" w:type="dxa"/>
            </w:tcMar>
            <w:vAlign w:val="center"/>
          </w:tcPr>
          <w:p>
            <w:pPr>
              <w:rPr>
                <w:rFonts w:ascii="黑体" w:hAnsi="黑体" w:eastAsia="黑体"/>
                <w:sz w:val="18"/>
                <w:szCs w:val="18"/>
              </w:rPr>
            </w:pPr>
          </w:p>
        </w:tc>
        <w:tc>
          <w:tcPr>
            <w:tcW w:w="1649"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 w:val="18"/>
                <w:szCs w:val="18"/>
              </w:rPr>
            </w:pPr>
            <w:r>
              <w:rPr>
                <w:rFonts w:hint="eastAsia" w:ascii="黑体" w:hAnsi="黑体" w:eastAsia="黑体"/>
                <w:kern w:val="0"/>
                <w:sz w:val="18"/>
                <w:szCs w:val="18"/>
              </w:rPr>
              <w:t>（三）不予公开</w:t>
            </w:r>
          </w:p>
        </w:tc>
        <w:tc>
          <w:tcPr>
            <w:tcW w:w="2889" w:type="dxa"/>
            <w:shd w:val="clear" w:color="auto" w:fill="auto"/>
            <w:tcMar>
              <w:left w:w="108" w:type="dxa"/>
              <w:right w:w="108" w:type="dxa"/>
            </w:tcMar>
            <w:vAlign w:val="center"/>
          </w:tcPr>
          <w:p>
            <w:pPr>
              <w:widowControl/>
              <w:spacing w:line="200" w:lineRule="exact"/>
              <w:rPr>
                <w:rFonts w:ascii="仿宋_GB2312" w:hAnsi="黑体" w:eastAsia="仿宋_GB2312"/>
                <w:kern w:val="0"/>
                <w:sz w:val="18"/>
                <w:szCs w:val="18"/>
              </w:rPr>
            </w:pPr>
            <w:r>
              <w:rPr>
                <w:rFonts w:hint="eastAsia" w:ascii="仿宋_GB2312" w:hAnsi="黑体" w:eastAsia="仿宋_GB2312"/>
                <w:kern w:val="0"/>
                <w:sz w:val="18"/>
                <w:szCs w:val="18"/>
              </w:rPr>
              <w:t>1.属于国家秘密</w:t>
            </w:r>
          </w:p>
        </w:tc>
        <w:tc>
          <w:tcPr>
            <w:tcW w:w="804"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03" w:type="dxa"/>
            <w:vMerge w:val="continue"/>
            <w:shd w:val="clear" w:color="auto" w:fill="auto"/>
            <w:tcMar>
              <w:left w:w="108" w:type="dxa"/>
              <w:right w:w="108" w:type="dxa"/>
            </w:tcMar>
            <w:vAlign w:val="center"/>
          </w:tcPr>
          <w:p>
            <w:pPr>
              <w:rPr>
                <w:rFonts w:ascii="黑体" w:hAnsi="黑体" w:eastAsia="黑体"/>
                <w:sz w:val="18"/>
                <w:szCs w:val="18"/>
              </w:rPr>
            </w:pPr>
          </w:p>
        </w:tc>
        <w:tc>
          <w:tcPr>
            <w:tcW w:w="1649" w:type="dxa"/>
            <w:vMerge w:val="continue"/>
            <w:shd w:val="clear" w:color="auto" w:fill="auto"/>
            <w:tcMar>
              <w:left w:w="108" w:type="dxa"/>
              <w:right w:w="108" w:type="dxa"/>
            </w:tcMar>
            <w:vAlign w:val="center"/>
          </w:tcPr>
          <w:p>
            <w:pPr>
              <w:spacing w:line="200" w:lineRule="exact"/>
              <w:rPr>
                <w:rFonts w:ascii="黑体" w:hAnsi="黑体" w:eastAsia="黑体"/>
                <w:sz w:val="18"/>
                <w:szCs w:val="18"/>
              </w:rPr>
            </w:pPr>
          </w:p>
        </w:tc>
        <w:tc>
          <w:tcPr>
            <w:tcW w:w="2889" w:type="dxa"/>
            <w:shd w:val="clear" w:color="auto" w:fill="auto"/>
            <w:tcMar>
              <w:left w:w="108" w:type="dxa"/>
              <w:right w:w="108" w:type="dxa"/>
            </w:tcMar>
            <w:vAlign w:val="center"/>
          </w:tcPr>
          <w:p>
            <w:pPr>
              <w:widowControl/>
              <w:spacing w:line="200" w:lineRule="exact"/>
              <w:rPr>
                <w:rFonts w:ascii="仿宋_GB2312" w:hAnsi="黑体" w:eastAsia="仿宋_GB2312"/>
                <w:kern w:val="0"/>
                <w:sz w:val="18"/>
                <w:szCs w:val="18"/>
              </w:rPr>
            </w:pPr>
            <w:r>
              <w:rPr>
                <w:rFonts w:hint="eastAsia" w:ascii="仿宋_GB2312" w:hAnsi="黑体" w:eastAsia="仿宋_GB2312"/>
                <w:kern w:val="0"/>
                <w:sz w:val="18"/>
                <w:szCs w:val="18"/>
              </w:rPr>
              <w:t>2.</w:t>
            </w:r>
            <w:bookmarkStart w:id="2" w:name="_Hlk66974104"/>
            <w:r>
              <w:rPr>
                <w:rFonts w:hint="eastAsia" w:ascii="仿宋_GB2312" w:hAnsi="黑体" w:eastAsia="仿宋_GB2312"/>
                <w:kern w:val="0"/>
                <w:sz w:val="18"/>
                <w:szCs w:val="18"/>
              </w:rPr>
              <w:t>其他法律行政法规禁止公开</w:t>
            </w:r>
            <w:bookmarkEnd w:id="2"/>
          </w:p>
        </w:tc>
        <w:tc>
          <w:tcPr>
            <w:tcW w:w="804"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03" w:type="dxa"/>
            <w:vMerge w:val="continue"/>
            <w:shd w:val="clear" w:color="auto" w:fill="auto"/>
            <w:tcMar>
              <w:left w:w="108" w:type="dxa"/>
              <w:right w:w="108" w:type="dxa"/>
            </w:tcMar>
            <w:vAlign w:val="center"/>
          </w:tcPr>
          <w:p>
            <w:pPr>
              <w:rPr>
                <w:rFonts w:ascii="黑体" w:hAnsi="黑体" w:eastAsia="黑体"/>
                <w:sz w:val="18"/>
                <w:szCs w:val="18"/>
              </w:rPr>
            </w:pPr>
          </w:p>
        </w:tc>
        <w:tc>
          <w:tcPr>
            <w:tcW w:w="1649" w:type="dxa"/>
            <w:vMerge w:val="continue"/>
            <w:shd w:val="clear" w:color="auto" w:fill="auto"/>
            <w:tcMar>
              <w:left w:w="108" w:type="dxa"/>
              <w:right w:w="108" w:type="dxa"/>
            </w:tcMar>
            <w:vAlign w:val="center"/>
          </w:tcPr>
          <w:p>
            <w:pPr>
              <w:spacing w:line="200" w:lineRule="exact"/>
              <w:rPr>
                <w:rFonts w:ascii="黑体" w:hAnsi="黑体" w:eastAsia="黑体"/>
                <w:sz w:val="18"/>
                <w:szCs w:val="18"/>
              </w:rPr>
            </w:pPr>
          </w:p>
        </w:tc>
        <w:tc>
          <w:tcPr>
            <w:tcW w:w="2889" w:type="dxa"/>
            <w:shd w:val="clear" w:color="auto" w:fill="auto"/>
            <w:tcMar>
              <w:left w:w="108" w:type="dxa"/>
              <w:right w:w="108" w:type="dxa"/>
            </w:tcMar>
            <w:vAlign w:val="center"/>
          </w:tcPr>
          <w:p>
            <w:pPr>
              <w:widowControl/>
              <w:spacing w:line="200" w:lineRule="exact"/>
              <w:rPr>
                <w:rFonts w:ascii="仿宋_GB2312" w:hAnsi="黑体" w:eastAsia="仿宋_GB2312"/>
                <w:kern w:val="0"/>
                <w:sz w:val="18"/>
                <w:szCs w:val="18"/>
              </w:rPr>
            </w:pPr>
            <w:r>
              <w:rPr>
                <w:rFonts w:hint="eastAsia" w:ascii="仿宋_GB2312" w:hAnsi="黑体" w:eastAsia="仿宋_GB2312"/>
                <w:kern w:val="0"/>
                <w:sz w:val="18"/>
                <w:szCs w:val="18"/>
              </w:rPr>
              <w:t>3.危及“三安全一稳定”</w:t>
            </w:r>
          </w:p>
        </w:tc>
        <w:tc>
          <w:tcPr>
            <w:tcW w:w="804"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03" w:type="dxa"/>
            <w:vMerge w:val="continue"/>
            <w:shd w:val="clear" w:color="auto" w:fill="auto"/>
            <w:tcMar>
              <w:left w:w="108" w:type="dxa"/>
              <w:right w:w="108" w:type="dxa"/>
            </w:tcMar>
            <w:vAlign w:val="center"/>
          </w:tcPr>
          <w:p>
            <w:pPr>
              <w:rPr>
                <w:rFonts w:ascii="黑体" w:hAnsi="黑体" w:eastAsia="黑体"/>
                <w:sz w:val="18"/>
                <w:szCs w:val="18"/>
              </w:rPr>
            </w:pPr>
          </w:p>
        </w:tc>
        <w:tc>
          <w:tcPr>
            <w:tcW w:w="1649" w:type="dxa"/>
            <w:vMerge w:val="continue"/>
            <w:shd w:val="clear" w:color="auto" w:fill="auto"/>
            <w:tcMar>
              <w:left w:w="108" w:type="dxa"/>
              <w:right w:w="108" w:type="dxa"/>
            </w:tcMar>
            <w:vAlign w:val="center"/>
          </w:tcPr>
          <w:p>
            <w:pPr>
              <w:spacing w:line="200" w:lineRule="exact"/>
              <w:rPr>
                <w:rFonts w:ascii="黑体" w:hAnsi="黑体" w:eastAsia="黑体"/>
                <w:sz w:val="18"/>
                <w:szCs w:val="18"/>
              </w:rPr>
            </w:pPr>
          </w:p>
        </w:tc>
        <w:tc>
          <w:tcPr>
            <w:tcW w:w="2889" w:type="dxa"/>
            <w:shd w:val="clear" w:color="auto" w:fill="auto"/>
            <w:tcMar>
              <w:left w:w="108" w:type="dxa"/>
              <w:right w:w="108" w:type="dxa"/>
            </w:tcMar>
            <w:vAlign w:val="center"/>
          </w:tcPr>
          <w:p>
            <w:pPr>
              <w:widowControl/>
              <w:spacing w:line="200" w:lineRule="exact"/>
              <w:rPr>
                <w:rFonts w:ascii="仿宋_GB2312" w:hAnsi="黑体" w:eastAsia="仿宋_GB2312"/>
                <w:kern w:val="0"/>
                <w:sz w:val="18"/>
                <w:szCs w:val="18"/>
              </w:rPr>
            </w:pPr>
            <w:r>
              <w:rPr>
                <w:rFonts w:hint="eastAsia" w:ascii="仿宋_GB2312" w:hAnsi="黑体" w:eastAsia="仿宋_GB2312"/>
                <w:kern w:val="0"/>
                <w:sz w:val="18"/>
                <w:szCs w:val="18"/>
              </w:rPr>
              <w:t>4.</w:t>
            </w:r>
            <w:bookmarkStart w:id="3" w:name="_Hlk66974290"/>
            <w:r>
              <w:rPr>
                <w:rFonts w:hint="eastAsia" w:ascii="仿宋_GB2312" w:hAnsi="黑体" w:eastAsia="仿宋_GB2312"/>
                <w:kern w:val="0"/>
                <w:sz w:val="18"/>
                <w:szCs w:val="18"/>
              </w:rPr>
              <w:t>保护第三方合法权益</w:t>
            </w:r>
            <w:bookmarkEnd w:id="3"/>
          </w:p>
        </w:tc>
        <w:tc>
          <w:tcPr>
            <w:tcW w:w="804"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03" w:type="dxa"/>
            <w:vMerge w:val="continue"/>
            <w:shd w:val="clear" w:color="auto" w:fill="auto"/>
            <w:tcMar>
              <w:left w:w="108" w:type="dxa"/>
              <w:right w:w="108" w:type="dxa"/>
            </w:tcMar>
            <w:vAlign w:val="center"/>
          </w:tcPr>
          <w:p>
            <w:pPr>
              <w:rPr>
                <w:rFonts w:ascii="黑体" w:hAnsi="黑体" w:eastAsia="黑体"/>
                <w:sz w:val="18"/>
                <w:szCs w:val="18"/>
              </w:rPr>
            </w:pPr>
          </w:p>
        </w:tc>
        <w:tc>
          <w:tcPr>
            <w:tcW w:w="1649" w:type="dxa"/>
            <w:vMerge w:val="continue"/>
            <w:shd w:val="clear" w:color="auto" w:fill="auto"/>
            <w:tcMar>
              <w:left w:w="108" w:type="dxa"/>
              <w:right w:w="108" w:type="dxa"/>
            </w:tcMar>
            <w:vAlign w:val="center"/>
          </w:tcPr>
          <w:p>
            <w:pPr>
              <w:spacing w:line="200" w:lineRule="exact"/>
              <w:rPr>
                <w:rFonts w:ascii="黑体" w:hAnsi="黑体" w:eastAsia="黑体"/>
                <w:sz w:val="18"/>
                <w:szCs w:val="18"/>
              </w:rPr>
            </w:pPr>
          </w:p>
        </w:tc>
        <w:tc>
          <w:tcPr>
            <w:tcW w:w="2889" w:type="dxa"/>
            <w:shd w:val="clear" w:color="auto" w:fill="auto"/>
            <w:tcMar>
              <w:left w:w="108" w:type="dxa"/>
              <w:right w:w="108" w:type="dxa"/>
            </w:tcMar>
            <w:vAlign w:val="center"/>
          </w:tcPr>
          <w:p>
            <w:pPr>
              <w:widowControl/>
              <w:spacing w:line="200" w:lineRule="exact"/>
              <w:rPr>
                <w:rFonts w:ascii="仿宋_GB2312" w:hAnsi="黑体" w:eastAsia="仿宋_GB2312"/>
                <w:kern w:val="0"/>
                <w:sz w:val="18"/>
                <w:szCs w:val="18"/>
              </w:rPr>
            </w:pPr>
            <w:r>
              <w:rPr>
                <w:rFonts w:hint="eastAsia" w:ascii="仿宋_GB2312" w:hAnsi="黑体" w:eastAsia="仿宋_GB2312"/>
                <w:kern w:val="0"/>
                <w:sz w:val="18"/>
                <w:szCs w:val="18"/>
              </w:rPr>
              <w:t>5.属于三类内部事务信息</w:t>
            </w:r>
          </w:p>
        </w:tc>
        <w:tc>
          <w:tcPr>
            <w:tcW w:w="804"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03" w:type="dxa"/>
            <w:vMerge w:val="continue"/>
            <w:shd w:val="clear" w:color="auto" w:fill="auto"/>
            <w:tcMar>
              <w:left w:w="108" w:type="dxa"/>
              <w:right w:w="108" w:type="dxa"/>
            </w:tcMar>
            <w:vAlign w:val="center"/>
          </w:tcPr>
          <w:p>
            <w:pPr>
              <w:rPr>
                <w:rFonts w:ascii="黑体" w:hAnsi="黑体" w:eastAsia="黑体"/>
                <w:sz w:val="18"/>
                <w:szCs w:val="18"/>
              </w:rPr>
            </w:pPr>
          </w:p>
        </w:tc>
        <w:tc>
          <w:tcPr>
            <w:tcW w:w="1649" w:type="dxa"/>
            <w:vMerge w:val="continue"/>
            <w:shd w:val="clear" w:color="auto" w:fill="auto"/>
            <w:tcMar>
              <w:left w:w="108" w:type="dxa"/>
              <w:right w:w="108" w:type="dxa"/>
            </w:tcMar>
            <w:vAlign w:val="center"/>
          </w:tcPr>
          <w:p>
            <w:pPr>
              <w:spacing w:line="200" w:lineRule="exact"/>
              <w:rPr>
                <w:rFonts w:ascii="黑体" w:hAnsi="黑体" w:eastAsia="黑体"/>
                <w:sz w:val="18"/>
                <w:szCs w:val="18"/>
              </w:rPr>
            </w:pPr>
          </w:p>
        </w:tc>
        <w:tc>
          <w:tcPr>
            <w:tcW w:w="2889" w:type="dxa"/>
            <w:shd w:val="clear" w:color="auto" w:fill="auto"/>
            <w:tcMar>
              <w:left w:w="108" w:type="dxa"/>
              <w:right w:w="108" w:type="dxa"/>
            </w:tcMar>
            <w:vAlign w:val="center"/>
          </w:tcPr>
          <w:p>
            <w:pPr>
              <w:widowControl/>
              <w:spacing w:line="200" w:lineRule="exact"/>
              <w:rPr>
                <w:rFonts w:ascii="仿宋_GB2312" w:hAnsi="黑体" w:eastAsia="仿宋_GB2312"/>
                <w:kern w:val="0"/>
                <w:sz w:val="18"/>
                <w:szCs w:val="18"/>
              </w:rPr>
            </w:pPr>
            <w:r>
              <w:rPr>
                <w:rFonts w:hint="eastAsia" w:ascii="仿宋_GB2312" w:hAnsi="黑体" w:eastAsia="仿宋_GB2312"/>
                <w:kern w:val="0"/>
                <w:sz w:val="18"/>
                <w:szCs w:val="18"/>
              </w:rPr>
              <w:t>6.</w:t>
            </w:r>
            <w:bookmarkStart w:id="4" w:name="_Hlk66974555"/>
            <w:r>
              <w:rPr>
                <w:rFonts w:hint="eastAsia" w:ascii="仿宋_GB2312" w:hAnsi="黑体" w:eastAsia="仿宋_GB2312"/>
                <w:kern w:val="0"/>
                <w:sz w:val="18"/>
                <w:szCs w:val="18"/>
              </w:rPr>
              <w:t>属于四类过程性信息</w:t>
            </w:r>
            <w:bookmarkEnd w:id="4"/>
          </w:p>
        </w:tc>
        <w:tc>
          <w:tcPr>
            <w:tcW w:w="804"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03" w:type="dxa"/>
            <w:vMerge w:val="continue"/>
            <w:shd w:val="clear" w:color="auto" w:fill="auto"/>
            <w:tcMar>
              <w:left w:w="108" w:type="dxa"/>
              <w:right w:w="108" w:type="dxa"/>
            </w:tcMar>
            <w:vAlign w:val="center"/>
          </w:tcPr>
          <w:p>
            <w:pPr>
              <w:rPr>
                <w:rFonts w:ascii="黑体" w:hAnsi="黑体" w:eastAsia="黑体"/>
                <w:sz w:val="18"/>
                <w:szCs w:val="18"/>
              </w:rPr>
            </w:pPr>
          </w:p>
        </w:tc>
        <w:tc>
          <w:tcPr>
            <w:tcW w:w="1649" w:type="dxa"/>
            <w:vMerge w:val="continue"/>
            <w:shd w:val="clear" w:color="auto" w:fill="auto"/>
            <w:tcMar>
              <w:left w:w="108" w:type="dxa"/>
              <w:right w:w="108" w:type="dxa"/>
            </w:tcMar>
            <w:vAlign w:val="center"/>
          </w:tcPr>
          <w:p>
            <w:pPr>
              <w:spacing w:line="200" w:lineRule="exact"/>
              <w:rPr>
                <w:rFonts w:ascii="黑体" w:hAnsi="黑体" w:eastAsia="黑体"/>
                <w:sz w:val="18"/>
                <w:szCs w:val="18"/>
              </w:rPr>
            </w:pPr>
          </w:p>
        </w:tc>
        <w:tc>
          <w:tcPr>
            <w:tcW w:w="2889" w:type="dxa"/>
            <w:shd w:val="clear" w:color="auto" w:fill="auto"/>
            <w:tcMar>
              <w:left w:w="108" w:type="dxa"/>
              <w:right w:w="108" w:type="dxa"/>
            </w:tcMar>
            <w:vAlign w:val="center"/>
          </w:tcPr>
          <w:p>
            <w:pPr>
              <w:widowControl/>
              <w:spacing w:line="200" w:lineRule="exact"/>
              <w:rPr>
                <w:rFonts w:ascii="仿宋_GB2312" w:hAnsi="黑体" w:eastAsia="仿宋_GB2312"/>
                <w:kern w:val="0"/>
                <w:sz w:val="18"/>
                <w:szCs w:val="18"/>
              </w:rPr>
            </w:pPr>
            <w:r>
              <w:rPr>
                <w:rFonts w:hint="eastAsia" w:ascii="仿宋_GB2312" w:hAnsi="黑体" w:eastAsia="仿宋_GB2312"/>
                <w:kern w:val="0"/>
                <w:sz w:val="18"/>
                <w:szCs w:val="18"/>
              </w:rPr>
              <w:t>7.属于行政执法案卷</w:t>
            </w:r>
          </w:p>
        </w:tc>
        <w:tc>
          <w:tcPr>
            <w:tcW w:w="804"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03" w:type="dxa"/>
            <w:vMerge w:val="continue"/>
            <w:shd w:val="clear" w:color="auto" w:fill="auto"/>
            <w:tcMar>
              <w:left w:w="108" w:type="dxa"/>
              <w:right w:w="108" w:type="dxa"/>
            </w:tcMar>
            <w:vAlign w:val="center"/>
          </w:tcPr>
          <w:p>
            <w:pPr>
              <w:rPr>
                <w:rFonts w:ascii="黑体" w:hAnsi="黑体" w:eastAsia="黑体"/>
                <w:sz w:val="18"/>
                <w:szCs w:val="18"/>
              </w:rPr>
            </w:pPr>
          </w:p>
        </w:tc>
        <w:tc>
          <w:tcPr>
            <w:tcW w:w="1649" w:type="dxa"/>
            <w:vMerge w:val="continue"/>
            <w:shd w:val="clear" w:color="auto" w:fill="auto"/>
            <w:tcMar>
              <w:left w:w="108" w:type="dxa"/>
              <w:right w:w="108" w:type="dxa"/>
            </w:tcMar>
            <w:vAlign w:val="center"/>
          </w:tcPr>
          <w:p>
            <w:pPr>
              <w:spacing w:line="200" w:lineRule="exact"/>
              <w:rPr>
                <w:rFonts w:ascii="黑体" w:hAnsi="黑体" w:eastAsia="黑体"/>
                <w:sz w:val="18"/>
                <w:szCs w:val="18"/>
              </w:rPr>
            </w:pPr>
          </w:p>
        </w:tc>
        <w:tc>
          <w:tcPr>
            <w:tcW w:w="2889" w:type="dxa"/>
            <w:shd w:val="clear" w:color="auto" w:fill="auto"/>
            <w:tcMar>
              <w:left w:w="108" w:type="dxa"/>
              <w:right w:w="108" w:type="dxa"/>
            </w:tcMar>
            <w:vAlign w:val="center"/>
          </w:tcPr>
          <w:p>
            <w:pPr>
              <w:widowControl/>
              <w:spacing w:line="200" w:lineRule="exact"/>
              <w:rPr>
                <w:rFonts w:ascii="仿宋_GB2312" w:hAnsi="黑体" w:eastAsia="仿宋_GB2312"/>
                <w:kern w:val="0"/>
                <w:sz w:val="18"/>
                <w:szCs w:val="18"/>
              </w:rPr>
            </w:pPr>
            <w:r>
              <w:rPr>
                <w:rFonts w:hint="eastAsia" w:ascii="仿宋_GB2312" w:hAnsi="黑体" w:eastAsia="仿宋_GB2312"/>
                <w:kern w:val="0"/>
                <w:sz w:val="18"/>
                <w:szCs w:val="18"/>
              </w:rPr>
              <w:t>8.</w:t>
            </w:r>
            <w:bookmarkStart w:id="5" w:name="_Hlk66975211"/>
            <w:r>
              <w:rPr>
                <w:rFonts w:hint="eastAsia" w:ascii="仿宋_GB2312" w:hAnsi="黑体" w:eastAsia="仿宋_GB2312"/>
                <w:kern w:val="0"/>
                <w:sz w:val="18"/>
                <w:szCs w:val="18"/>
              </w:rPr>
              <w:t>属于行政查询事项</w:t>
            </w:r>
            <w:bookmarkEnd w:id="5"/>
          </w:p>
        </w:tc>
        <w:tc>
          <w:tcPr>
            <w:tcW w:w="804"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03" w:type="dxa"/>
            <w:vMerge w:val="continue"/>
            <w:shd w:val="clear" w:color="auto" w:fill="auto"/>
            <w:tcMar>
              <w:left w:w="108" w:type="dxa"/>
              <w:right w:w="108" w:type="dxa"/>
            </w:tcMar>
            <w:vAlign w:val="center"/>
          </w:tcPr>
          <w:p>
            <w:pPr>
              <w:rPr>
                <w:rFonts w:ascii="黑体" w:hAnsi="黑体" w:eastAsia="黑体"/>
                <w:sz w:val="18"/>
                <w:szCs w:val="18"/>
              </w:rPr>
            </w:pPr>
          </w:p>
        </w:tc>
        <w:tc>
          <w:tcPr>
            <w:tcW w:w="1649"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 w:val="18"/>
                <w:szCs w:val="18"/>
              </w:rPr>
            </w:pPr>
            <w:r>
              <w:rPr>
                <w:rFonts w:hint="eastAsia" w:ascii="黑体" w:hAnsi="黑体" w:eastAsia="黑体"/>
                <w:kern w:val="0"/>
                <w:sz w:val="18"/>
                <w:szCs w:val="18"/>
              </w:rPr>
              <w:t>（四）无法提供</w:t>
            </w:r>
          </w:p>
        </w:tc>
        <w:tc>
          <w:tcPr>
            <w:tcW w:w="2889" w:type="dxa"/>
            <w:shd w:val="clear" w:color="auto" w:fill="auto"/>
            <w:tcMar>
              <w:left w:w="108" w:type="dxa"/>
              <w:right w:w="108" w:type="dxa"/>
            </w:tcMar>
            <w:vAlign w:val="center"/>
          </w:tcPr>
          <w:p>
            <w:pPr>
              <w:widowControl/>
              <w:spacing w:line="200" w:lineRule="exact"/>
              <w:rPr>
                <w:rFonts w:ascii="仿宋_GB2312" w:hAnsi="黑体" w:eastAsia="仿宋_GB2312"/>
                <w:kern w:val="0"/>
                <w:sz w:val="18"/>
                <w:szCs w:val="18"/>
              </w:rPr>
            </w:pPr>
            <w:r>
              <w:rPr>
                <w:rFonts w:hint="eastAsia" w:ascii="仿宋_GB2312" w:hAnsi="黑体" w:eastAsia="仿宋_GB2312"/>
                <w:kern w:val="0"/>
                <w:sz w:val="18"/>
                <w:szCs w:val="18"/>
              </w:rPr>
              <w:t>1.本机关不掌握相关政府信息</w:t>
            </w:r>
          </w:p>
        </w:tc>
        <w:tc>
          <w:tcPr>
            <w:tcW w:w="804"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03" w:type="dxa"/>
            <w:vMerge w:val="continue"/>
            <w:shd w:val="clear" w:color="auto" w:fill="auto"/>
            <w:tcMar>
              <w:left w:w="108" w:type="dxa"/>
              <w:right w:w="108" w:type="dxa"/>
            </w:tcMar>
            <w:vAlign w:val="center"/>
          </w:tcPr>
          <w:p>
            <w:pPr>
              <w:rPr>
                <w:rFonts w:ascii="黑体" w:hAnsi="黑体" w:eastAsia="黑体"/>
                <w:sz w:val="18"/>
                <w:szCs w:val="18"/>
              </w:rPr>
            </w:pPr>
          </w:p>
        </w:tc>
        <w:tc>
          <w:tcPr>
            <w:tcW w:w="1649" w:type="dxa"/>
            <w:vMerge w:val="continue"/>
            <w:shd w:val="clear" w:color="auto" w:fill="auto"/>
            <w:tcMar>
              <w:left w:w="108" w:type="dxa"/>
              <w:right w:w="108" w:type="dxa"/>
            </w:tcMar>
            <w:vAlign w:val="center"/>
          </w:tcPr>
          <w:p>
            <w:pPr>
              <w:spacing w:line="200" w:lineRule="exact"/>
              <w:ind w:left="-107" w:leftChars="-51"/>
              <w:rPr>
                <w:rFonts w:ascii="黑体" w:hAnsi="黑体" w:eastAsia="黑体"/>
                <w:sz w:val="18"/>
                <w:szCs w:val="18"/>
              </w:rPr>
            </w:pPr>
          </w:p>
        </w:tc>
        <w:tc>
          <w:tcPr>
            <w:tcW w:w="2889" w:type="dxa"/>
            <w:shd w:val="clear" w:color="auto" w:fill="auto"/>
            <w:tcMar>
              <w:left w:w="108" w:type="dxa"/>
              <w:right w:w="108" w:type="dxa"/>
            </w:tcMar>
            <w:vAlign w:val="center"/>
          </w:tcPr>
          <w:p>
            <w:pPr>
              <w:widowControl/>
              <w:spacing w:line="200" w:lineRule="exact"/>
              <w:rPr>
                <w:rFonts w:ascii="仿宋_GB2312" w:hAnsi="黑体" w:eastAsia="仿宋_GB2312"/>
                <w:kern w:val="0"/>
                <w:sz w:val="18"/>
                <w:szCs w:val="18"/>
              </w:rPr>
            </w:pPr>
            <w:r>
              <w:rPr>
                <w:rFonts w:hint="eastAsia" w:ascii="仿宋_GB2312" w:hAnsi="黑体" w:eastAsia="仿宋_GB2312"/>
                <w:kern w:val="0"/>
                <w:sz w:val="18"/>
                <w:szCs w:val="18"/>
              </w:rPr>
              <w:t>2.</w:t>
            </w:r>
            <w:bookmarkStart w:id="6" w:name="_Hlk66975392"/>
            <w:r>
              <w:rPr>
                <w:rFonts w:hint="eastAsia" w:ascii="仿宋_GB2312" w:hAnsi="黑体" w:eastAsia="仿宋_GB2312"/>
                <w:kern w:val="0"/>
                <w:sz w:val="18"/>
                <w:szCs w:val="18"/>
              </w:rPr>
              <w:t>没有现成信息需要另行制作</w:t>
            </w:r>
            <w:bookmarkEnd w:id="6"/>
          </w:p>
        </w:tc>
        <w:tc>
          <w:tcPr>
            <w:tcW w:w="804"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03" w:type="dxa"/>
            <w:vMerge w:val="continue"/>
            <w:shd w:val="clear" w:color="auto" w:fill="auto"/>
            <w:tcMar>
              <w:left w:w="108" w:type="dxa"/>
              <w:right w:w="108" w:type="dxa"/>
            </w:tcMar>
            <w:vAlign w:val="center"/>
          </w:tcPr>
          <w:p>
            <w:pPr>
              <w:rPr>
                <w:rFonts w:ascii="黑体" w:hAnsi="黑体" w:eastAsia="黑体"/>
                <w:sz w:val="18"/>
                <w:szCs w:val="18"/>
              </w:rPr>
            </w:pPr>
          </w:p>
        </w:tc>
        <w:tc>
          <w:tcPr>
            <w:tcW w:w="1649" w:type="dxa"/>
            <w:vMerge w:val="continue"/>
            <w:shd w:val="clear" w:color="auto" w:fill="auto"/>
            <w:tcMar>
              <w:left w:w="108" w:type="dxa"/>
              <w:right w:w="108" w:type="dxa"/>
            </w:tcMar>
            <w:vAlign w:val="center"/>
          </w:tcPr>
          <w:p>
            <w:pPr>
              <w:spacing w:line="200" w:lineRule="exact"/>
              <w:ind w:left="-107" w:leftChars="-51"/>
              <w:rPr>
                <w:rFonts w:ascii="黑体" w:hAnsi="黑体" w:eastAsia="黑体"/>
                <w:sz w:val="18"/>
                <w:szCs w:val="18"/>
              </w:rPr>
            </w:pPr>
          </w:p>
        </w:tc>
        <w:tc>
          <w:tcPr>
            <w:tcW w:w="2889" w:type="dxa"/>
            <w:shd w:val="clear" w:color="auto" w:fill="auto"/>
            <w:tcMar>
              <w:left w:w="108" w:type="dxa"/>
              <w:right w:w="108" w:type="dxa"/>
            </w:tcMar>
            <w:vAlign w:val="center"/>
          </w:tcPr>
          <w:p>
            <w:pPr>
              <w:widowControl/>
              <w:spacing w:line="200" w:lineRule="exact"/>
              <w:rPr>
                <w:rFonts w:ascii="仿宋_GB2312" w:hAnsi="黑体" w:eastAsia="仿宋_GB2312"/>
                <w:kern w:val="0"/>
                <w:sz w:val="18"/>
                <w:szCs w:val="18"/>
              </w:rPr>
            </w:pPr>
            <w:r>
              <w:rPr>
                <w:rFonts w:hint="eastAsia" w:ascii="仿宋_GB2312" w:hAnsi="黑体" w:eastAsia="仿宋_GB2312"/>
                <w:kern w:val="0"/>
                <w:sz w:val="18"/>
                <w:szCs w:val="18"/>
              </w:rPr>
              <w:t>3.</w:t>
            </w:r>
            <w:bookmarkStart w:id="7" w:name="_Hlk66975466"/>
            <w:r>
              <w:rPr>
                <w:rFonts w:hint="eastAsia" w:ascii="仿宋_GB2312" w:hAnsi="黑体" w:eastAsia="仿宋_GB2312"/>
                <w:kern w:val="0"/>
                <w:sz w:val="18"/>
                <w:szCs w:val="18"/>
              </w:rPr>
              <w:t>补正后申请内容仍不明确</w:t>
            </w:r>
            <w:bookmarkEnd w:id="7"/>
          </w:p>
        </w:tc>
        <w:tc>
          <w:tcPr>
            <w:tcW w:w="804"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03" w:type="dxa"/>
            <w:vMerge w:val="continue"/>
            <w:shd w:val="clear" w:color="auto" w:fill="auto"/>
            <w:tcMar>
              <w:left w:w="108" w:type="dxa"/>
              <w:right w:w="108" w:type="dxa"/>
            </w:tcMar>
            <w:vAlign w:val="center"/>
          </w:tcPr>
          <w:p>
            <w:pPr>
              <w:rPr>
                <w:rFonts w:ascii="黑体" w:hAnsi="黑体" w:eastAsia="黑体"/>
                <w:sz w:val="18"/>
                <w:szCs w:val="18"/>
              </w:rPr>
            </w:pPr>
          </w:p>
        </w:tc>
        <w:tc>
          <w:tcPr>
            <w:tcW w:w="1649"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 w:val="18"/>
                <w:szCs w:val="18"/>
              </w:rPr>
            </w:pPr>
            <w:r>
              <w:rPr>
                <w:rFonts w:hint="eastAsia" w:ascii="黑体" w:hAnsi="黑体" w:eastAsia="黑体"/>
                <w:kern w:val="0"/>
                <w:sz w:val="18"/>
                <w:szCs w:val="18"/>
              </w:rPr>
              <w:t>（五）不予处理</w:t>
            </w:r>
          </w:p>
        </w:tc>
        <w:tc>
          <w:tcPr>
            <w:tcW w:w="2889" w:type="dxa"/>
            <w:shd w:val="clear" w:color="auto" w:fill="auto"/>
            <w:tcMar>
              <w:left w:w="108" w:type="dxa"/>
              <w:right w:w="108" w:type="dxa"/>
            </w:tcMar>
            <w:vAlign w:val="center"/>
          </w:tcPr>
          <w:p>
            <w:pPr>
              <w:widowControl/>
              <w:spacing w:line="200" w:lineRule="exact"/>
              <w:rPr>
                <w:rFonts w:ascii="仿宋_GB2312" w:hAnsi="黑体" w:eastAsia="仿宋_GB2312"/>
                <w:kern w:val="0"/>
                <w:sz w:val="18"/>
                <w:szCs w:val="18"/>
              </w:rPr>
            </w:pPr>
            <w:r>
              <w:rPr>
                <w:rFonts w:hint="eastAsia" w:ascii="仿宋_GB2312" w:hAnsi="黑体" w:eastAsia="仿宋_GB2312"/>
                <w:kern w:val="0"/>
                <w:sz w:val="18"/>
                <w:szCs w:val="18"/>
              </w:rPr>
              <w:t>1.</w:t>
            </w:r>
            <w:bookmarkStart w:id="8" w:name="_Hlk66975537"/>
            <w:r>
              <w:rPr>
                <w:rFonts w:hint="eastAsia" w:ascii="仿宋_GB2312" w:hAnsi="黑体" w:eastAsia="仿宋_GB2312"/>
                <w:kern w:val="0"/>
                <w:sz w:val="18"/>
                <w:szCs w:val="18"/>
              </w:rPr>
              <w:t>信访举报投诉类申请</w:t>
            </w:r>
            <w:bookmarkEnd w:id="8"/>
          </w:p>
        </w:tc>
        <w:tc>
          <w:tcPr>
            <w:tcW w:w="804"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03" w:type="dxa"/>
            <w:vMerge w:val="continue"/>
            <w:shd w:val="clear" w:color="auto" w:fill="auto"/>
            <w:tcMar>
              <w:left w:w="108" w:type="dxa"/>
              <w:right w:w="108" w:type="dxa"/>
            </w:tcMar>
            <w:vAlign w:val="center"/>
          </w:tcPr>
          <w:p>
            <w:pPr>
              <w:rPr>
                <w:rFonts w:ascii="黑体" w:hAnsi="黑体" w:eastAsia="黑体"/>
                <w:sz w:val="18"/>
                <w:szCs w:val="18"/>
              </w:rPr>
            </w:pPr>
          </w:p>
        </w:tc>
        <w:tc>
          <w:tcPr>
            <w:tcW w:w="1649" w:type="dxa"/>
            <w:vMerge w:val="continue"/>
            <w:shd w:val="clear" w:color="auto" w:fill="auto"/>
            <w:tcMar>
              <w:left w:w="108" w:type="dxa"/>
              <w:right w:w="108" w:type="dxa"/>
            </w:tcMar>
            <w:vAlign w:val="center"/>
          </w:tcPr>
          <w:p>
            <w:pPr>
              <w:spacing w:line="200" w:lineRule="exact"/>
              <w:rPr>
                <w:rFonts w:ascii="黑体" w:hAnsi="黑体" w:eastAsia="黑体"/>
                <w:sz w:val="18"/>
                <w:szCs w:val="18"/>
              </w:rPr>
            </w:pPr>
          </w:p>
        </w:tc>
        <w:tc>
          <w:tcPr>
            <w:tcW w:w="2889" w:type="dxa"/>
            <w:shd w:val="clear" w:color="auto" w:fill="auto"/>
            <w:tcMar>
              <w:left w:w="108" w:type="dxa"/>
              <w:right w:w="108" w:type="dxa"/>
            </w:tcMar>
            <w:vAlign w:val="center"/>
          </w:tcPr>
          <w:p>
            <w:pPr>
              <w:widowControl/>
              <w:spacing w:line="200" w:lineRule="exact"/>
              <w:rPr>
                <w:rFonts w:ascii="仿宋_GB2312" w:hAnsi="黑体" w:eastAsia="仿宋_GB2312"/>
                <w:kern w:val="0"/>
                <w:sz w:val="18"/>
                <w:szCs w:val="18"/>
              </w:rPr>
            </w:pPr>
            <w:r>
              <w:rPr>
                <w:rFonts w:hint="eastAsia" w:ascii="仿宋_GB2312" w:hAnsi="黑体" w:eastAsia="仿宋_GB2312"/>
                <w:kern w:val="0"/>
                <w:sz w:val="18"/>
                <w:szCs w:val="18"/>
              </w:rPr>
              <w:t>2.重复申请</w:t>
            </w:r>
          </w:p>
        </w:tc>
        <w:tc>
          <w:tcPr>
            <w:tcW w:w="804"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03" w:type="dxa"/>
            <w:vMerge w:val="continue"/>
            <w:shd w:val="clear" w:color="auto" w:fill="auto"/>
            <w:tcMar>
              <w:left w:w="108" w:type="dxa"/>
              <w:right w:w="108" w:type="dxa"/>
            </w:tcMar>
            <w:vAlign w:val="center"/>
          </w:tcPr>
          <w:p>
            <w:pPr>
              <w:rPr>
                <w:rFonts w:ascii="黑体" w:hAnsi="黑体" w:eastAsia="黑体"/>
                <w:sz w:val="18"/>
                <w:szCs w:val="18"/>
              </w:rPr>
            </w:pPr>
          </w:p>
        </w:tc>
        <w:tc>
          <w:tcPr>
            <w:tcW w:w="1649" w:type="dxa"/>
            <w:vMerge w:val="continue"/>
            <w:shd w:val="clear" w:color="auto" w:fill="auto"/>
            <w:tcMar>
              <w:left w:w="108" w:type="dxa"/>
              <w:right w:w="108" w:type="dxa"/>
            </w:tcMar>
            <w:vAlign w:val="center"/>
          </w:tcPr>
          <w:p>
            <w:pPr>
              <w:spacing w:line="200" w:lineRule="exact"/>
              <w:rPr>
                <w:rFonts w:ascii="黑体" w:hAnsi="黑体" w:eastAsia="黑体"/>
                <w:sz w:val="18"/>
                <w:szCs w:val="18"/>
              </w:rPr>
            </w:pPr>
          </w:p>
        </w:tc>
        <w:tc>
          <w:tcPr>
            <w:tcW w:w="2889" w:type="dxa"/>
            <w:shd w:val="clear" w:color="auto" w:fill="auto"/>
            <w:tcMar>
              <w:left w:w="108" w:type="dxa"/>
              <w:right w:w="108" w:type="dxa"/>
            </w:tcMar>
            <w:vAlign w:val="center"/>
          </w:tcPr>
          <w:p>
            <w:pPr>
              <w:widowControl/>
              <w:spacing w:line="200" w:lineRule="exact"/>
              <w:rPr>
                <w:rFonts w:ascii="仿宋_GB2312" w:hAnsi="黑体" w:eastAsia="仿宋_GB2312"/>
                <w:sz w:val="18"/>
                <w:szCs w:val="18"/>
              </w:rPr>
            </w:pPr>
            <w:r>
              <w:rPr>
                <w:rFonts w:hint="eastAsia" w:ascii="仿宋_GB2312" w:hAnsi="黑体" w:eastAsia="仿宋_GB2312"/>
                <w:kern w:val="0"/>
                <w:sz w:val="18"/>
                <w:szCs w:val="18"/>
              </w:rPr>
              <w:t>3.要求提供公开出版物</w:t>
            </w:r>
          </w:p>
        </w:tc>
        <w:tc>
          <w:tcPr>
            <w:tcW w:w="804"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03" w:type="dxa"/>
            <w:vMerge w:val="continue"/>
            <w:shd w:val="clear" w:color="auto" w:fill="auto"/>
            <w:tcMar>
              <w:left w:w="108" w:type="dxa"/>
              <w:right w:w="108" w:type="dxa"/>
            </w:tcMar>
            <w:vAlign w:val="center"/>
          </w:tcPr>
          <w:p>
            <w:pPr>
              <w:rPr>
                <w:rFonts w:ascii="黑体" w:hAnsi="黑体" w:eastAsia="黑体"/>
                <w:sz w:val="18"/>
                <w:szCs w:val="18"/>
              </w:rPr>
            </w:pPr>
          </w:p>
        </w:tc>
        <w:tc>
          <w:tcPr>
            <w:tcW w:w="1649" w:type="dxa"/>
            <w:vMerge w:val="continue"/>
            <w:shd w:val="clear" w:color="auto" w:fill="auto"/>
            <w:tcMar>
              <w:left w:w="108" w:type="dxa"/>
              <w:right w:w="108" w:type="dxa"/>
            </w:tcMar>
            <w:vAlign w:val="center"/>
          </w:tcPr>
          <w:p>
            <w:pPr>
              <w:spacing w:line="200" w:lineRule="exact"/>
              <w:rPr>
                <w:rFonts w:ascii="黑体" w:hAnsi="黑体" w:eastAsia="黑体"/>
                <w:sz w:val="18"/>
                <w:szCs w:val="18"/>
              </w:rPr>
            </w:pPr>
          </w:p>
        </w:tc>
        <w:tc>
          <w:tcPr>
            <w:tcW w:w="2889" w:type="dxa"/>
            <w:shd w:val="clear" w:color="auto" w:fill="auto"/>
            <w:tcMar>
              <w:left w:w="108" w:type="dxa"/>
              <w:right w:w="108" w:type="dxa"/>
            </w:tcMar>
            <w:vAlign w:val="center"/>
          </w:tcPr>
          <w:p>
            <w:pPr>
              <w:widowControl/>
              <w:spacing w:line="200" w:lineRule="exact"/>
              <w:rPr>
                <w:rFonts w:ascii="仿宋_GB2312" w:hAnsi="黑体" w:eastAsia="仿宋_GB2312"/>
                <w:sz w:val="18"/>
                <w:szCs w:val="18"/>
              </w:rPr>
            </w:pPr>
            <w:r>
              <w:rPr>
                <w:rFonts w:hint="eastAsia" w:ascii="仿宋_GB2312" w:hAnsi="黑体" w:eastAsia="仿宋_GB2312"/>
                <w:kern w:val="0"/>
                <w:sz w:val="18"/>
                <w:szCs w:val="18"/>
              </w:rPr>
              <w:t>4.无正当理由大量反复申请</w:t>
            </w:r>
          </w:p>
        </w:tc>
        <w:tc>
          <w:tcPr>
            <w:tcW w:w="804"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03" w:type="dxa"/>
            <w:vMerge w:val="continue"/>
            <w:shd w:val="clear" w:color="auto" w:fill="auto"/>
            <w:tcMar>
              <w:left w:w="108" w:type="dxa"/>
              <w:right w:w="108" w:type="dxa"/>
            </w:tcMar>
            <w:vAlign w:val="center"/>
          </w:tcPr>
          <w:p>
            <w:pPr>
              <w:rPr>
                <w:rFonts w:ascii="黑体" w:hAnsi="黑体" w:eastAsia="黑体"/>
                <w:sz w:val="18"/>
                <w:szCs w:val="18"/>
              </w:rPr>
            </w:pPr>
          </w:p>
        </w:tc>
        <w:tc>
          <w:tcPr>
            <w:tcW w:w="1649" w:type="dxa"/>
            <w:vMerge w:val="continue"/>
            <w:shd w:val="clear" w:color="auto" w:fill="auto"/>
            <w:tcMar>
              <w:left w:w="108" w:type="dxa"/>
              <w:right w:w="108" w:type="dxa"/>
            </w:tcMar>
            <w:vAlign w:val="center"/>
          </w:tcPr>
          <w:p>
            <w:pPr>
              <w:spacing w:line="200" w:lineRule="exact"/>
              <w:rPr>
                <w:rFonts w:ascii="黑体" w:hAnsi="黑体" w:eastAsia="黑体"/>
                <w:sz w:val="18"/>
                <w:szCs w:val="18"/>
              </w:rPr>
            </w:pPr>
          </w:p>
        </w:tc>
        <w:tc>
          <w:tcPr>
            <w:tcW w:w="2889" w:type="dxa"/>
            <w:shd w:val="clear" w:color="auto" w:fill="auto"/>
            <w:tcMar>
              <w:left w:w="108" w:type="dxa"/>
              <w:right w:w="108" w:type="dxa"/>
            </w:tcMar>
            <w:vAlign w:val="center"/>
          </w:tcPr>
          <w:p>
            <w:pPr>
              <w:widowControl/>
              <w:spacing w:line="300" w:lineRule="exact"/>
              <w:rPr>
                <w:rFonts w:ascii="仿宋_GB2312" w:hAnsi="黑体" w:eastAsia="仿宋_GB2312"/>
                <w:kern w:val="0"/>
                <w:sz w:val="18"/>
                <w:szCs w:val="18"/>
              </w:rPr>
            </w:pPr>
            <w:r>
              <w:rPr>
                <w:rFonts w:hint="eastAsia" w:ascii="仿宋_GB2312" w:hAnsi="黑体" w:eastAsia="仿宋_GB2312"/>
                <w:kern w:val="0"/>
                <w:sz w:val="18"/>
                <w:szCs w:val="18"/>
              </w:rPr>
              <w:t>5.要求行政机关确认或重新</w:t>
            </w:r>
          </w:p>
          <w:p>
            <w:pPr>
              <w:widowControl/>
              <w:spacing w:line="300" w:lineRule="exact"/>
              <w:ind w:firstLine="180" w:firstLineChars="100"/>
              <w:rPr>
                <w:rFonts w:ascii="仿宋_GB2312" w:hAnsi="黑体" w:eastAsia="仿宋_GB2312"/>
                <w:sz w:val="18"/>
                <w:szCs w:val="18"/>
              </w:rPr>
            </w:pPr>
            <w:r>
              <w:rPr>
                <w:rFonts w:hint="eastAsia" w:ascii="仿宋_GB2312" w:hAnsi="黑体" w:eastAsia="仿宋_GB2312"/>
                <w:kern w:val="0"/>
                <w:sz w:val="18"/>
                <w:szCs w:val="18"/>
              </w:rPr>
              <w:t>出具已获取信息</w:t>
            </w:r>
          </w:p>
        </w:tc>
        <w:tc>
          <w:tcPr>
            <w:tcW w:w="804"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57" w:hRule="atLeast"/>
          <w:jc w:val="center"/>
        </w:trPr>
        <w:tc>
          <w:tcPr>
            <w:tcW w:w="403" w:type="dxa"/>
            <w:vMerge w:val="continue"/>
            <w:shd w:val="clear" w:color="auto" w:fill="auto"/>
            <w:tcMar>
              <w:left w:w="108" w:type="dxa"/>
              <w:right w:w="108" w:type="dxa"/>
            </w:tcMar>
            <w:vAlign w:val="center"/>
          </w:tcPr>
          <w:p>
            <w:pPr>
              <w:rPr>
                <w:rFonts w:ascii="黑体" w:hAnsi="黑体" w:eastAsia="黑体"/>
                <w:sz w:val="18"/>
                <w:szCs w:val="18"/>
              </w:rPr>
            </w:pPr>
          </w:p>
        </w:tc>
        <w:tc>
          <w:tcPr>
            <w:tcW w:w="1649" w:type="dxa"/>
            <w:vMerge w:val="restart"/>
            <w:shd w:val="clear" w:color="auto" w:fill="auto"/>
            <w:tcMar>
              <w:left w:w="108" w:type="dxa"/>
              <w:right w:w="108" w:type="dxa"/>
            </w:tcMar>
            <w:vAlign w:val="center"/>
          </w:tcPr>
          <w:p>
            <w:pPr>
              <w:widowControl/>
              <w:spacing w:line="300" w:lineRule="exact"/>
              <w:rPr>
                <w:rFonts w:ascii="黑体" w:hAnsi="黑体" w:eastAsia="黑体"/>
                <w:kern w:val="0"/>
                <w:sz w:val="18"/>
                <w:szCs w:val="18"/>
              </w:rPr>
            </w:pPr>
            <w:r>
              <w:rPr>
                <w:rFonts w:hint="eastAsia" w:ascii="黑体" w:hAnsi="黑体" w:eastAsia="黑体"/>
                <w:kern w:val="0"/>
                <w:sz w:val="18"/>
                <w:szCs w:val="18"/>
              </w:rPr>
              <w:t>（六）其他处理</w:t>
            </w:r>
          </w:p>
        </w:tc>
        <w:tc>
          <w:tcPr>
            <w:tcW w:w="2889" w:type="dxa"/>
            <w:shd w:val="clear" w:color="auto" w:fill="auto"/>
            <w:vAlign w:val="center"/>
          </w:tcPr>
          <w:p>
            <w:pPr>
              <w:widowControl/>
              <w:spacing w:line="300" w:lineRule="exact"/>
              <w:rPr>
                <w:rFonts w:ascii="仿宋_GB2312" w:hAnsi="楷体" w:eastAsia="仿宋_GB2312"/>
                <w:sz w:val="18"/>
                <w:szCs w:val="21"/>
              </w:rPr>
            </w:pPr>
            <w:r>
              <w:rPr>
                <w:rFonts w:hint="eastAsia" w:ascii="仿宋_GB2312" w:hAnsi="楷体" w:eastAsia="仿宋_GB2312"/>
                <w:sz w:val="18"/>
                <w:szCs w:val="21"/>
              </w:rPr>
              <w:t>1.申请人无正当理由逾期不补正、行政机关不再处理其政府信息公开申请</w:t>
            </w:r>
          </w:p>
        </w:tc>
        <w:tc>
          <w:tcPr>
            <w:tcW w:w="804"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57" w:hRule="atLeast"/>
          <w:jc w:val="center"/>
        </w:trPr>
        <w:tc>
          <w:tcPr>
            <w:tcW w:w="403" w:type="dxa"/>
            <w:vMerge w:val="continue"/>
            <w:shd w:val="clear" w:color="auto" w:fill="auto"/>
            <w:tcMar>
              <w:left w:w="108" w:type="dxa"/>
              <w:right w:w="108" w:type="dxa"/>
            </w:tcMar>
            <w:vAlign w:val="center"/>
          </w:tcPr>
          <w:p>
            <w:pPr>
              <w:rPr>
                <w:rFonts w:ascii="黑体" w:hAnsi="黑体" w:eastAsia="黑体"/>
                <w:sz w:val="18"/>
                <w:szCs w:val="18"/>
              </w:rPr>
            </w:pPr>
          </w:p>
        </w:tc>
        <w:tc>
          <w:tcPr>
            <w:tcW w:w="1649" w:type="dxa"/>
            <w:vMerge w:val="continue"/>
            <w:shd w:val="clear" w:color="auto" w:fill="auto"/>
            <w:tcMar>
              <w:left w:w="108" w:type="dxa"/>
              <w:right w:w="108" w:type="dxa"/>
            </w:tcMar>
            <w:vAlign w:val="center"/>
          </w:tcPr>
          <w:p>
            <w:pPr>
              <w:widowControl/>
              <w:spacing w:line="300" w:lineRule="exact"/>
              <w:rPr>
                <w:rFonts w:ascii="黑体" w:hAnsi="黑体" w:eastAsia="黑体"/>
                <w:kern w:val="0"/>
                <w:sz w:val="18"/>
                <w:szCs w:val="18"/>
              </w:rPr>
            </w:pPr>
          </w:p>
        </w:tc>
        <w:tc>
          <w:tcPr>
            <w:tcW w:w="2889" w:type="dxa"/>
            <w:shd w:val="clear" w:color="auto" w:fill="auto"/>
            <w:vAlign w:val="center"/>
          </w:tcPr>
          <w:p>
            <w:pPr>
              <w:widowControl/>
              <w:spacing w:line="300" w:lineRule="exact"/>
              <w:rPr>
                <w:rFonts w:ascii="仿宋_GB2312" w:hAnsi="黑体" w:eastAsia="仿宋_GB2312"/>
                <w:kern w:val="0"/>
                <w:sz w:val="18"/>
                <w:szCs w:val="18"/>
              </w:rPr>
            </w:pPr>
            <w:r>
              <w:rPr>
                <w:rFonts w:hint="eastAsia" w:ascii="仿宋_GB2312" w:hAnsi="楷体" w:eastAsia="仿宋_GB2312"/>
                <w:sz w:val="18"/>
                <w:szCs w:val="21"/>
              </w:rPr>
              <w:t>2.申请人逾期未按收费通知要求缴纳费用、行政机关不再处理其政府信息公开申请</w:t>
            </w:r>
          </w:p>
        </w:tc>
        <w:tc>
          <w:tcPr>
            <w:tcW w:w="804"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403" w:type="dxa"/>
            <w:vMerge w:val="continue"/>
            <w:shd w:val="clear" w:color="auto" w:fill="auto"/>
            <w:tcMar>
              <w:left w:w="108" w:type="dxa"/>
              <w:right w:w="108" w:type="dxa"/>
            </w:tcMar>
            <w:vAlign w:val="center"/>
          </w:tcPr>
          <w:p>
            <w:pPr>
              <w:rPr>
                <w:rFonts w:ascii="黑体" w:hAnsi="黑体" w:eastAsia="黑体"/>
                <w:sz w:val="18"/>
                <w:szCs w:val="18"/>
              </w:rPr>
            </w:pPr>
          </w:p>
        </w:tc>
        <w:tc>
          <w:tcPr>
            <w:tcW w:w="1649" w:type="dxa"/>
            <w:vMerge w:val="continue"/>
            <w:shd w:val="clear" w:color="auto" w:fill="auto"/>
            <w:tcMar>
              <w:left w:w="108" w:type="dxa"/>
              <w:right w:w="108" w:type="dxa"/>
            </w:tcMar>
            <w:vAlign w:val="center"/>
          </w:tcPr>
          <w:p>
            <w:pPr>
              <w:widowControl/>
              <w:spacing w:line="300" w:lineRule="exact"/>
              <w:rPr>
                <w:rFonts w:ascii="黑体" w:hAnsi="黑体" w:eastAsia="黑体"/>
                <w:kern w:val="0"/>
                <w:sz w:val="18"/>
                <w:szCs w:val="18"/>
              </w:rPr>
            </w:pPr>
          </w:p>
        </w:tc>
        <w:tc>
          <w:tcPr>
            <w:tcW w:w="2889" w:type="dxa"/>
            <w:shd w:val="clear" w:color="auto" w:fill="auto"/>
            <w:vAlign w:val="center"/>
          </w:tcPr>
          <w:p>
            <w:pPr>
              <w:widowControl/>
              <w:spacing w:line="300" w:lineRule="exact"/>
              <w:rPr>
                <w:rFonts w:ascii="仿宋_GB2312" w:hAnsi="黑体" w:eastAsia="仿宋_GB2312"/>
                <w:kern w:val="0"/>
                <w:sz w:val="18"/>
                <w:szCs w:val="18"/>
              </w:rPr>
            </w:pPr>
            <w:r>
              <w:rPr>
                <w:rFonts w:hint="eastAsia" w:ascii="仿宋_GB2312" w:hAnsi="楷体" w:eastAsia="仿宋_GB2312"/>
                <w:sz w:val="18"/>
                <w:szCs w:val="21"/>
              </w:rPr>
              <w:t>3.其他</w:t>
            </w:r>
          </w:p>
        </w:tc>
        <w:tc>
          <w:tcPr>
            <w:tcW w:w="804"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 w:val="18"/>
                <w:szCs w:val="18"/>
              </w:rPr>
            </w:pP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403" w:type="dxa"/>
            <w:vMerge w:val="continue"/>
            <w:shd w:val="clear" w:color="auto" w:fill="auto"/>
            <w:tcMar>
              <w:left w:w="108" w:type="dxa"/>
              <w:right w:w="108" w:type="dxa"/>
            </w:tcMar>
            <w:vAlign w:val="center"/>
          </w:tcPr>
          <w:p>
            <w:pPr>
              <w:rPr>
                <w:rFonts w:ascii="黑体" w:hAnsi="黑体" w:eastAsia="黑体"/>
                <w:sz w:val="18"/>
                <w:szCs w:val="18"/>
              </w:rPr>
            </w:pPr>
          </w:p>
        </w:tc>
        <w:tc>
          <w:tcPr>
            <w:tcW w:w="4538" w:type="dxa"/>
            <w:gridSpan w:val="2"/>
            <w:shd w:val="clear" w:color="auto" w:fill="auto"/>
            <w:tcMar>
              <w:left w:w="108" w:type="dxa"/>
              <w:right w:w="108" w:type="dxa"/>
            </w:tcMar>
            <w:vAlign w:val="center"/>
          </w:tcPr>
          <w:p>
            <w:pPr>
              <w:widowControl/>
              <w:spacing w:line="300" w:lineRule="exact"/>
              <w:rPr>
                <w:rFonts w:ascii="黑体" w:hAnsi="黑体" w:eastAsia="黑体"/>
                <w:kern w:val="0"/>
                <w:sz w:val="18"/>
                <w:szCs w:val="18"/>
              </w:rPr>
            </w:pPr>
            <w:r>
              <w:rPr>
                <w:rFonts w:hint="eastAsia" w:ascii="黑体" w:hAnsi="黑体" w:eastAsia="黑体"/>
                <w:kern w:val="0"/>
                <w:sz w:val="18"/>
                <w:szCs w:val="18"/>
              </w:rPr>
              <w:t>（七）总计</w:t>
            </w:r>
          </w:p>
        </w:tc>
        <w:tc>
          <w:tcPr>
            <w:tcW w:w="804"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4941" w:type="dxa"/>
            <w:gridSpan w:val="3"/>
            <w:shd w:val="clear" w:color="auto" w:fill="auto"/>
            <w:tcMar>
              <w:left w:w="108" w:type="dxa"/>
              <w:right w:w="108" w:type="dxa"/>
            </w:tcMar>
            <w:vAlign w:val="center"/>
          </w:tcPr>
          <w:p>
            <w:pPr>
              <w:widowControl/>
              <w:spacing w:line="300" w:lineRule="exact"/>
              <w:rPr>
                <w:rFonts w:ascii="黑体" w:hAnsi="黑体" w:eastAsia="黑体"/>
                <w:kern w:val="0"/>
                <w:sz w:val="18"/>
                <w:szCs w:val="18"/>
              </w:rPr>
            </w:pPr>
            <w:r>
              <w:rPr>
                <w:rFonts w:hint="eastAsia" w:ascii="黑体" w:hAnsi="黑体" w:eastAsia="黑体"/>
                <w:kern w:val="0"/>
                <w:sz w:val="18"/>
                <w:szCs w:val="18"/>
              </w:rPr>
              <w:t>四、结转下年度继续办理</w:t>
            </w:r>
          </w:p>
        </w:tc>
        <w:tc>
          <w:tcPr>
            <w:tcW w:w="804"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49"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68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555"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c>
          <w:tcPr>
            <w:tcW w:w="828" w:type="dxa"/>
            <w:shd w:val="clear" w:color="auto" w:fill="auto"/>
            <w:tcMar>
              <w:left w:w="108" w:type="dxa"/>
              <w:right w:w="108" w:type="dxa"/>
            </w:tcMar>
            <w:vAlign w:val="center"/>
          </w:tcPr>
          <w:p>
            <w:pPr>
              <w:widowControl/>
              <w:spacing w:after="180"/>
              <w:jc w:val="center"/>
              <w:rPr>
                <w:rFonts w:ascii="仿宋_GB2312" w:hAnsi="Times New Roman" w:eastAsia="仿宋_GB2312"/>
                <w:sz w:val="18"/>
                <w:szCs w:val="18"/>
              </w:rPr>
            </w:pPr>
            <w:r>
              <w:rPr>
                <w:rFonts w:hint="eastAsia" w:ascii="仿宋_GB2312" w:hAnsi="Times New Roman" w:eastAsia="仿宋_GB2312"/>
                <w:sz w:val="18"/>
                <w:szCs w:val="18"/>
                <w:lang w:val="en-US" w:eastAsia="zh-CN"/>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20" w:firstLineChars="200"/>
        <w:textAlignment w:val="auto"/>
        <w:rPr>
          <w:rFonts w:ascii="黑体" w:hAnsi="宋体" w:eastAsia="黑体" w:cs="黑体"/>
          <w:i w:val="0"/>
          <w:iCs w:val="0"/>
          <w:caps w:val="0"/>
          <w:color w:val="000000"/>
          <w:spacing w:val="0"/>
          <w:sz w:val="31"/>
          <w:szCs w:val="31"/>
          <w:shd w:val="clear" w:fill="FFFFFF"/>
        </w:rPr>
      </w:pPr>
      <w:r>
        <w:rPr>
          <w:rFonts w:ascii="黑体" w:hAnsi="宋体" w:eastAsia="黑体" w:cs="黑体"/>
          <w:i w:val="0"/>
          <w:iCs w:val="0"/>
          <w:caps w:val="0"/>
          <w:color w:val="000000"/>
          <w:spacing w:val="0"/>
          <w:sz w:val="31"/>
          <w:szCs w:val="31"/>
          <w:shd w:val="clear" w:fill="FFFFFF"/>
        </w:rPr>
        <w:t>政府信息公开行政复议、行政诉讼情况</w:t>
      </w:r>
    </w:p>
    <w:tbl>
      <w:tblPr>
        <w:tblStyle w:val="6"/>
        <w:tblpPr w:leftFromText="180" w:rightFromText="180" w:vertAnchor="text" w:horzAnchor="page" w:tblpXSpec="center" w:tblpY="422"/>
        <w:tblOverlap w:val="neve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sz w:val="18"/>
                <w:szCs w:val="21"/>
              </w:rPr>
            </w:pPr>
            <w:r>
              <w:rPr>
                <w:rFonts w:ascii="黑体" w:hAnsi="黑体" w:eastAsia="黑体"/>
                <w:kern w:val="0"/>
                <w:sz w:val="16"/>
                <w:szCs w:val="16"/>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sz w:val="18"/>
                <w:szCs w:val="21"/>
              </w:rPr>
            </w:pPr>
            <w:r>
              <w:rPr>
                <w:rFonts w:ascii="黑体" w:hAnsi="黑体" w:eastAsia="黑体"/>
                <w:kern w:val="0"/>
                <w:sz w:val="16"/>
                <w:szCs w:val="16"/>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16"/>
                <w:szCs w:val="16"/>
              </w:rPr>
            </w:pPr>
            <w:r>
              <w:rPr>
                <w:rFonts w:ascii="黑体" w:hAnsi="黑体" w:eastAsia="黑体"/>
                <w:kern w:val="0"/>
                <w:sz w:val="16"/>
                <w:szCs w:val="16"/>
              </w:rPr>
              <w:t>结果</w:t>
            </w:r>
          </w:p>
          <w:p>
            <w:pPr>
              <w:widowControl/>
              <w:ind w:left="-149" w:leftChars="-71" w:right="-170" w:rightChars="-81"/>
              <w:jc w:val="center"/>
              <w:rPr>
                <w:rFonts w:ascii="黑体" w:hAnsi="黑体" w:eastAsia="黑体"/>
                <w:sz w:val="18"/>
                <w:szCs w:val="21"/>
              </w:rPr>
            </w:pPr>
            <w:r>
              <w:rPr>
                <w:rFonts w:ascii="黑体" w:hAnsi="黑体" w:eastAsia="黑体"/>
                <w:kern w:val="0"/>
                <w:sz w:val="16"/>
                <w:szCs w:val="16"/>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sz w:val="18"/>
                <w:szCs w:val="21"/>
              </w:rPr>
            </w:pPr>
            <w:r>
              <w:rPr>
                <w:rFonts w:ascii="黑体" w:hAnsi="黑体" w:eastAsia="黑体"/>
                <w:kern w:val="0"/>
                <w:sz w:val="16"/>
                <w:szCs w:val="16"/>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sz w:val="18"/>
                <w:szCs w:val="21"/>
              </w:rPr>
            </w:pPr>
            <w:r>
              <w:rPr>
                <w:rFonts w:ascii="黑体" w:hAnsi="黑体" w:eastAsia="黑体"/>
                <w:kern w:val="0"/>
                <w:sz w:val="16"/>
                <w:szCs w:val="16"/>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16"/>
                <w:szCs w:val="16"/>
              </w:rPr>
            </w:pPr>
            <w:r>
              <w:rPr>
                <w:rFonts w:ascii="黑体" w:hAnsi="黑体" w:eastAsia="黑体"/>
                <w:kern w:val="0"/>
                <w:sz w:val="16"/>
                <w:szCs w:val="16"/>
              </w:rPr>
              <w:t>尚未</w:t>
            </w:r>
          </w:p>
          <w:p>
            <w:pPr>
              <w:widowControl/>
              <w:ind w:left="-118" w:leftChars="-56" w:right="-118" w:rightChars="-56"/>
              <w:jc w:val="center"/>
              <w:rPr>
                <w:rFonts w:ascii="黑体" w:hAnsi="黑体" w:eastAsia="黑体"/>
                <w:sz w:val="18"/>
                <w:szCs w:val="21"/>
              </w:rPr>
            </w:pPr>
            <w:r>
              <w:rPr>
                <w:rFonts w:ascii="黑体" w:hAnsi="黑体" w:eastAsia="黑体"/>
                <w:kern w:val="0"/>
                <w:sz w:val="16"/>
                <w:szCs w:val="16"/>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16"/>
                <w:szCs w:val="16"/>
              </w:rPr>
            </w:pPr>
            <w:r>
              <w:rPr>
                <w:rFonts w:ascii="黑体" w:hAnsi="黑体" w:eastAsia="黑体"/>
                <w:kern w:val="0"/>
                <w:sz w:val="16"/>
                <w:szCs w:val="16"/>
              </w:rPr>
              <w:t>总</w:t>
            </w:r>
          </w:p>
          <w:p>
            <w:pPr>
              <w:widowControl/>
              <w:spacing w:line="320" w:lineRule="exact"/>
              <w:jc w:val="center"/>
              <w:rPr>
                <w:rFonts w:ascii="黑体" w:hAnsi="黑体" w:eastAsia="黑体"/>
                <w:sz w:val="18"/>
                <w:szCs w:val="21"/>
              </w:rPr>
            </w:pPr>
            <w:r>
              <w:rPr>
                <w:rFonts w:ascii="黑体" w:hAnsi="黑体" w:eastAsia="黑体"/>
                <w:kern w:val="0"/>
                <w:sz w:val="16"/>
                <w:szCs w:val="16"/>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sz w:val="18"/>
                <w:szCs w:val="21"/>
              </w:rPr>
            </w:pPr>
            <w:r>
              <w:rPr>
                <w:rFonts w:ascii="黑体" w:hAnsi="黑体" w:eastAsia="黑体"/>
                <w:kern w:val="0"/>
                <w:sz w:val="16"/>
                <w:szCs w:val="16"/>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sz w:val="18"/>
                <w:szCs w:val="21"/>
              </w:rPr>
            </w:pPr>
            <w:bookmarkStart w:id="9" w:name="_Hlk67039688"/>
            <w:r>
              <w:rPr>
                <w:rFonts w:ascii="黑体" w:hAnsi="黑体" w:eastAsia="黑体"/>
                <w:kern w:val="0"/>
                <w:sz w:val="16"/>
                <w:szCs w:val="16"/>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1"/>
                <w:szCs w:val="21"/>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1"/>
                <w:szCs w:val="21"/>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1"/>
                <w:szCs w:val="21"/>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1"/>
                <w:szCs w:val="21"/>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1"/>
                <w:szCs w:val="21"/>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sz w:val="18"/>
                <w:szCs w:val="21"/>
              </w:rPr>
            </w:pPr>
            <w:r>
              <w:rPr>
                <w:rFonts w:ascii="黑体" w:hAnsi="黑体" w:eastAsia="黑体"/>
                <w:kern w:val="0"/>
                <w:sz w:val="16"/>
                <w:szCs w:val="16"/>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sz w:val="18"/>
                <w:szCs w:val="21"/>
              </w:rPr>
            </w:pPr>
            <w:r>
              <w:rPr>
                <w:rFonts w:ascii="黑体" w:hAnsi="黑体" w:eastAsia="黑体"/>
                <w:kern w:val="0"/>
                <w:sz w:val="16"/>
                <w:szCs w:val="16"/>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16"/>
                <w:szCs w:val="16"/>
              </w:rPr>
            </w:pPr>
            <w:r>
              <w:rPr>
                <w:rFonts w:ascii="黑体" w:hAnsi="黑体" w:eastAsia="黑体"/>
                <w:kern w:val="0"/>
                <w:sz w:val="16"/>
                <w:szCs w:val="16"/>
              </w:rPr>
              <w:t>其他</w:t>
            </w:r>
          </w:p>
          <w:p>
            <w:pPr>
              <w:widowControl/>
              <w:ind w:left="-126" w:leftChars="-60" w:right="-136" w:rightChars="-65"/>
              <w:jc w:val="center"/>
              <w:rPr>
                <w:rFonts w:ascii="黑体" w:hAnsi="黑体" w:eastAsia="黑体"/>
                <w:sz w:val="18"/>
                <w:szCs w:val="21"/>
              </w:rPr>
            </w:pPr>
            <w:r>
              <w:rPr>
                <w:rFonts w:ascii="黑体" w:hAnsi="黑体" w:eastAsia="黑体"/>
                <w:kern w:val="0"/>
                <w:sz w:val="16"/>
                <w:szCs w:val="16"/>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16"/>
                <w:szCs w:val="16"/>
              </w:rPr>
            </w:pPr>
            <w:r>
              <w:rPr>
                <w:rFonts w:ascii="黑体" w:hAnsi="黑体" w:eastAsia="黑体"/>
                <w:kern w:val="0"/>
                <w:sz w:val="16"/>
                <w:szCs w:val="16"/>
              </w:rPr>
              <w:t>尚未</w:t>
            </w:r>
          </w:p>
          <w:p>
            <w:pPr>
              <w:widowControl/>
              <w:ind w:left="-164" w:leftChars="-78" w:right="-153" w:rightChars="-73"/>
              <w:jc w:val="center"/>
              <w:rPr>
                <w:rFonts w:ascii="黑体" w:hAnsi="黑体" w:eastAsia="黑体"/>
                <w:sz w:val="18"/>
                <w:szCs w:val="21"/>
              </w:rPr>
            </w:pPr>
            <w:r>
              <w:rPr>
                <w:rFonts w:ascii="黑体" w:hAnsi="黑体" w:eastAsia="黑体"/>
                <w:kern w:val="0"/>
                <w:sz w:val="16"/>
                <w:szCs w:val="16"/>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sz w:val="18"/>
                <w:szCs w:val="21"/>
              </w:rPr>
            </w:pPr>
            <w:r>
              <w:rPr>
                <w:rFonts w:ascii="黑体" w:hAnsi="黑体" w:eastAsia="黑体"/>
                <w:kern w:val="0"/>
                <w:sz w:val="16"/>
                <w:szCs w:val="16"/>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sz w:val="18"/>
                <w:szCs w:val="21"/>
              </w:rPr>
            </w:pPr>
            <w:r>
              <w:rPr>
                <w:rFonts w:ascii="黑体" w:hAnsi="黑体" w:eastAsia="黑体"/>
                <w:kern w:val="0"/>
                <w:sz w:val="16"/>
                <w:szCs w:val="16"/>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16"/>
                <w:szCs w:val="16"/>
              </w:rPr>
            </w:pPr>
            <w:r>
              <w:rPr>
                <w:rFonts w:ascii="黑体" w:hAnsi="黑体" w:eastAsia="黑体"/>
                <w:kern w:val="0"/>
                <w:sz w:val="16"/>
                <w:szCs w:val="16"/>
              </w:rPr>
              <w:t>结果</w:t>
            </w:r>
          </w:p>
          <w:p>
            <w:pPr>
              <w:widowControl/>
              <w:ind w:left="-136" w:leftChars="-65" w:right="-124" w:rightChars="-59"/>
              <w:jc w:val="center"/>
              <w:rPr>
                <w:rFonts w:ascii="黑体" w:hAnsi="黑体" w:eastAsia="黑体"/>
                <w:sz w:val="18"/>
                <w:szCs w:val="21"/>
              </w:rPr>
            </w:pPr>
            <w:r>
              <w:rPr>
                <w:rFonts w:ascii="黑体" w:hAnsi="黑体" w:eastAsia="黑体"/>
                <w:kern w:val="0"/>
                <w:sz w:val="16"/>
                <w:szCs w:val="16"/>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16"/>
                <w:szCs w:val="16"/>
              </w:rPr>
            </w:pPr>
            <w:r>
              <w:rPr>
                <w:rFonts w:ascii="黑体" w:hAnsi="黑体" w:eastAsia="黑体"/>
                <w:kern w:val="0"/>
                <w:sz w:val="16"/>
                <w:szCs w:val="16"/>
              </w:rPr>
              <w:t>其他</w:t>
            </w:r>
          </w:p>
          <w:p>
            <w:pPr>
              <w:widowControl/>
              <w:ind w:left="-173" w:leftChars="-83" w:right="-134" w:rightChars="-64" w:hanging="1"/>
              <w:jc w:val="center"/>
              <w:rPr>
                <w:rFonts w:ascii="黑体" w:hAnsi="黑体" w:eastAsia="黑体"/>
                <w:sz w:val="18"/>
                <w:szCs w:val="21"/>
              </w:rPr>
            </w:pPr>
            <w:r>
              <w:rPr>
                <w:rFonts w:ascii="黑体" w:hAnsi="黑体" w:eastAsia="黑体"/>
                <w:kern w:val="0"/>
                <w:sz w:val="16"/>
                <w:szCs w:val="16"/>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8" w:leftChars="-33" w:right="-105" w:rightChars="-50" w:hanging="1" w:hangingChars="1"/>
              <w:jc w:val="center"/>
              <w:rPr>
                <w:rFonts w:ascii="黑体" w:hAnsi="黑体" w:eastAsia="黑体"/>
                <w:sz w:val="18"/>
                <w:szCs w:val="21"/>
              </w:rPr>
            </w:pPr>
            <w:r>
              <w:rPr>
                <w:rFonts w:ascii="黑体" w:hAnsi="黑体" w:eastAsia="黑体"/>
                <w:kern w:val="0"/>
                <w:sz w:val="16"/>
                <w:szCs w:val="16"/>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sz w:val="18"/>
                <w:szCs w:val="21"/>
              </w:rPr>
            </w:pPr>
            <w:r>
              <w:rPr>
                <w:rFonts w:ascii="黑体" w:hAnsi="黑体" w:eastAsia="黑体"/>
                <w:kern w:val="0"/>
                <w:sz w:val="16"/>
                <w:szCs w:val="16"/>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sz w:val="18"/>
                <w:szCs w:val="21"/>
                <w:lang w:val="en-US" w:eastAsia="zh-CN"/>
              </w:rPr>
            </w:pPr>
            <w:r>
              <w:rPr>
                <w:rFonts w:hint="eastAsia" w:ascii="Times New Roman" w:hAnsi="Times New Roman"/>
                <w:sz w:val="18"/>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sz w:val="18"/>
                <w:szCs w:val="21"/>
              </w:rPr>
            </w:pPr>
            <w:r>
              <w:rPr>
                <w:rFonts w:hint="eastAsia" w:ascii="Times New Roman" w:hAnsi="Times New Roman"/>
                <w:sz w:val="18"/>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sz w:val="18"/>
                <w:szCs w:val="21"/>
              </w:rPr>
            </w:pPr>
            <w:r>
              <w:rPr>
                <w:rFonts w:hint="eastAsia" w:ascii="Times New Roman" w:hAnsi="Times New Roman"/>
                <w:sz w:val="18"/>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sz w:val="18"/>
                <w:szCs w:val="21"/>
              </w:rPr>
            </w:pPr>
            <w:r>
              <w:rPr>
                <w:rFonts w:hint="eastAsia" w:ascii="Times New Roman" w:hAnsi="Times New Roman"/>
                <w:sz w:val="18"/>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sz w:val="18"/>
                <w:szCs w:val="21"/>
              </w:rPr>
            </w:pPr>
            <w:r>
              <w:rPr>
                <w:rFonts w:hint="eastAsia" w:ascii="Times New Roman" w:hAnsi="Times New Roman"/>
                <w:sz w:val="18"/>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sz w:val="18"/>
                <w:szCs w:val="21"/>
              </w:rPr>
            </w:pPr>
            <w:r>
              <w:rPr>
                <w:rFonts w:hint="eastAsia" w:ascii="Times New Roman" w:hAnsi="Times New Roman"/>
                <w:sz w:val="18"/>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sz w:val="18"/>
                <w:szCs w:val="21"/>
              </w:rPr>
            </w:pPr>
            <w:r>
              <w:rPr>
                <w:rFonts w:hint="eastAsia" w:ascii="Times New Roman" w:hAnsi="Times New Roman"/>
                <w:sz w:val="18"/>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sz w:val="18"/>
                <w:szCs w:val="21"/>
              </w:rPr>
            </w:pPr>
            <w:r>
              <w:rPr>
                <w:rFonts w:hint="eastAsia" w:ascii="Times New Roman" w:hAnsi="Times New Roman"/>
                <w:sz w:val="18"/>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sz w:val="18"/>
                <w:szCs w:val="21"/>
              </w:rPr>
            </w:pPr>
            <w:r>
              <w:rPr>
                <w:rFonts w:hint="eastAsia" w:ascii="Times New Roman" w:hAnsi="Times New Roman"/>
                <w:sz w:val="18"/>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sz w:val="18"/>
                <w:szCs w:val="21"/>
              </w:rPr>
            </w:pPr>
            <w:r>
              <w:rPr>
                <w:rFonts w:hint="eastAsia" w:ascii="Times New Roman" w:hAnsi="Times New Roman"/>
                <w:sz w:val="18"/>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sz w:val="18"/>
                <w:szCs w:val="21"/>
              </w:rPr>
            </w:pPr>
            <w:r>
              <w:rPr>
                <w:rFonts w:hint="eastAsia" w:ascii="Times New Roman" w:hAnsi="Times New Roman"/>
                <w:sz w:val="18"/>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sz w:val="18"/>
                <w:szCs w:val="21"/>
              </w:rPr>
            </w:pPr>
            <w:r>
              <w:rPr>
                <w:rFonts w:hint="eastAsia" w:ascii="Times New Roman" w:hAnsi="Times New Roman"/>
                <w:sz w:val="18"/>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sz w:val="18"/>
                <w:szCs w:val="21"/>
              </w:rPr>
            </w:pPr>
            <w:r>
              <w:rPr>
                <w:rFonts w:hint="eastAsia" w:ascii="Times New Roman" w:hAnsi="Times New Roman"/>
                <w:sz w:val="18"/>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sz w:val="18"/>
                <w:szCs w:val="21"/>
              </w:rPr>
            </w:pPr>
            <w:r>
              <w:rPr>
                <w:rFonts w:hint="eastAsia" w:ascii="Times New Roman" w:hAnsi="Times New Roman"/>
                <w:sz w:val="18"/>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sz w:val="18"/>
                <w:szCs w:val="21"/>
              </w:rPr>
            </w:pPr>
            <w:r>
              <w:rPr>
                <w:rFonts w:hint="eastAsia" w:ascii="Times New Roman" w:hAnsi="Times New Roman"/>
                <w:sz w:val="18"/>
                <w:szCs w:val="21"/>
                <w:lang w:val="en-US" w:eastAsia="zh-CN"/>
              </w:rPr>
              <w:t>0</w:t>
            </w:r>
          </w:p>
        </w:tc>
      </w:tr>
    </w:tbl>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宋体" w:eastAsia="黑体" w:cs="黑体"/>
          <w:i w:val="0"/>
          <w:iCs w:val="0"/>
          <w:caps w:val="0"/>
          <w:color w:val="000000"/>
          <w:spacing w:val="0"/>
          <w:sz w:val="31"/>
          <w:szCs w:val="31"/>
          <w:shd w:val="clear" w:fill="FFFFFF"/>
        </w:rPr>
      </w:pPr>
      <w:r>
        <w:rPr>
          <w:rFonts w:hint="eastAsia" w:ascii="黑体" w:hAnsi="黑体" w:eastAsia="黑体" w:cs="黑体"/>
          <w:sz w:val="32"/>
          <w:szCs w:val="32"/>
          <w:lang w:val="en-US" w:eastAsia="zh-CN"/>
        </w:rPr>
        <w:t>五、</w:t>
      </w:r>
      <w:r>
        <w:rPr>
          <w:rFonts w:hint="eastAsia" w:ascii="黑体" w:hAnsi="黑体" w:eastAsia="黑体" w:cs="黑体"/>
          <w:sz w:val="32"/>
          <w:szCs w:val="32"/>
        </w:rPr>
        <w:t>政府信息公开工作存在的主要问题及改进情况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我局在政府信息公开工作方面取得了一些新的进展，但同时也存在一些问题，有时存在信息公开更新内容不够及时、全面。针对工作中存在的问题和不足我局将大力推动政府信息公开法规、规定贯彻实施，组织好政府信息公开培训，不断提高相关人员工作能力与水平，继续强化政府信息公开考核监督，促进本单位依法、规范开展政府信息公开工作，努力提高</w:t>
      </w:r>
      <w:r>
        <w:rPr>
          <w:rFonts w:hint="eastAsia" w:ascii="仿宋_GB2312" w:hAnsi="仿宋_GB2312" w:eastAsia="仿宋_GB2312" w:cs="仿宋_GB2312"/>
          <w:sz w:val="32"/>
          <w:szCs w:val="32"/>
          <w:lang w:val="en-US" w:eastAsia="zh-CN"/>
        </w:rPr>
        <w:t>政务</w:t>
      </w:r>
      <w:r>
        <w:rPr>
          <w:rFonts w:hint="eastAsia" w:ascii="仿宋_GB2312" w:hAnsi="仿宋_GB2312" w:eastAsia="仿宋_GB2312" w:cs="仿宋_GB2312"/>
          <w:sz w:val="32"/>
          <w:szCs w:val="32"/>
        </w:rPr>
        <w:t>公开工作的透明度和水平。</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80" w:lineRule="exact"/>
        <w:ind w:right="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其他需要报告的事项</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80" w:lineRule="exact"/>
        <w:ind w:right="0" w:righ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1</w:t>
                          </w:r>
                          <w:r>
                            <w:rPr>
                              <w:rFonts w:hint="eastAsia" w:asciiTheme="minorEastAsia" w:hAnsi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1</w:t>
                    </w:r>
                    <w:r>
                      <w:rPr>
                        <w:rFonts w:hint="eastAsia" w:asciiTheme="minorEastAsia" w:hAnsiTheme="minorEastAsia" w:cstheme="minorEastAsia"/>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69682"/>
    <w:multiLevelType w:val="singleLevel"/>
    <w:tmpl w:val="D8F69682"/>
    <w:lvl w:ilvl="0" w:tentative="0">
      <w:start w:val="6"/>
      <w:numFmt w:val="chineseCounting"/>
      <w:suff w:val="nothing"/>
      <w:lvlText w:val="%1、"/>
      <w:lvlJc w:val="left"/>
      <w:rPr>
        <w:rFonts w:hint="eastAsia"/>
      </w:rPr>
    </w:lvl>
  </w:abstractNum>
  <w:abstractNum w:abstractNumId="1">
    <w:nsid w:val="64D38204"/>
    <w:multiLevelType w:val="singleLevel"/>
    <w:tmpl w:val="64D3820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5C559D"/>
    <w:rsid w:val="5B8D6CBF"/>
    <w:rsid w:val="6C3E6459"/>
    <w:rsid w:val="6FF736A9"/>
    <w:rsid w:val="719E3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P\Desktop\&#26032;&#24314;%20XLS%20&#24037;&#20316;&#34920;%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solidFill>
                  <a:sysClr val="windowText" lastClr="000000"/>
                </a:solidFill>
                <a:latin typeface="黑体" panose="02010609060101010101" charset="-122"/>
                <a:ea typeface="黑体" panose="02010609060101010101" charset="-122"/>
              </a:rPr>
              <a:t>政府信息公开稿件数量对比图</a:t>
            </a:r>
            <a:endParaRPr sz="1200">
              <a:solidFill>
                <a:sysClr val="windowText" lastClr="000000"/>
              </a:solidFill>
              <a:latin typeface="黑体" panose="02010609060101010101" charset="-122"/>
              <a:ea typeface="黑体" panose="02010609060101010101" charset="-122"/>
            </a:endParaRPr>
          </a:p>
        </c:rich>
      </c:tx>
      <c:layout>
        <c:manualLayout>
          <c:xMode val="edge"/>
          <c:yMode val="edge"/>
          <c:x val="0.272222222222222"/>
          <c:y val="0.0112859097127223"/>
        </c:manualLayout>
      </c:layout>
      <c:overlay val="0"/>
      <c:spPr>
        <a:noFill/>
        <a:ln>
          <a:noFill/>
        </a:ln>
        <a:effectLst/>
      </c:spPr>
    </c:title>
    <c:autoTitleDeleted val="0"/>
    <c:plotArea>
      <c:layout>
        <c:manualLayout>
          <c:layoutTarget val="inner"/>
          <c:xMode val="edge"/>
          <c:yMode val="edge"/>
          <c:x val="0.101194444444444"/>
          <c:y val="0.135772153822769"/>
          <c:w val="0.894638888888889"/>
          <c:h val="0.722777777777778"/>
        </c:manualLayout>
      </c:layout>
      <c:barChart>
        <c:barDir val="col"/>
        <c:grouping val="clustered"/>
        <c:varyColors val="0"/>
        <c:ser>
          <c:idx val="0"/>
          <c:order val="0"/>
          <c:spPr>
            <a:solidFill>
              <a:schemeClr val="accent1"/>
            </a:solidFill>
            <a:ln>
              <a:noFill/>
            </a:ln>
            <a:effectLst/>
          </c:spPr>
          <c:invertIfNegative val="0"/>
          <c:dLbls>
            <c:delete val="1"/>
          </c:dLbls>
          <c:cat>
            <c:strRef>
              <c:f>'[新建 XLS 工作表 (2).xls]Sheet1'!$A$1:$B$1</c:f>
              <c:strCache>
                <c:ptCount val="2"/>
                <c:pt idx="0">
                  <c:v>2020年</c:v>
                </c:pt>
                <c:pt idx="1">
                  <c:v>2021年</c:v>
                </c:pt>
              </c:strCache>
            </c:strRef>
          </c:cat>
          <c:val>
            <c:numRef>
              <c:f>'[新建 XLS 工作表 (2).xls]Sheet1'!$A$2:$B$2</c:f>
              <c:numCache>
                <c:formatCode>General</c:formatCode>
                <c:ptCount val="2"/>
                <c:pt idx="0">
                  <c:v>84</c:v>
                </c:pt>
                <c:pt idx="1">
                  <c:v>102</c:v>
                </c:pt>
              </c:numCache>
            </c:numRef>
          </c:val>
        </c:ser>
        <c:dLbls>
          <c:showLegendKey val="0"/>
          <c:showVal val="0"/>
          <c:showCatName val="0"/>
          <c:showSerName val="0"/>
          <c:showPercent val="0"/>
          <c:showBubbleSize val="0"/>
        </c:dLbls>
        <c:gapWidth val="219"/>
        <c:overlap val="-27"/>
        <c:axId val="361502169"/>
        <c:axId val="631757258"/>
      </c:barChart>
      <c:catAx>
        <c:axId val="3615021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1757258"/>
        <c:crosses val="autoZero"/>
        <c:auto val="1"/>
        <c:lblAlgn val="ctr"/>
        <c:lblOffset val="100"/>
        <c:noMultiLvlLbl val="0"/>
      </c:catAx>
      <c:valAx>
        <c:axId val="63175725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150216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1855</Words>
  <Characters>1956</Characters>
  <Lines>0</Lines>
  <Paragraphs>0</Paragraphs>
  <TotalTime>2</TotalTime>
  <ScaleCrop>false</ScaleCrop>
  <LinksUpToDate>false</LinksUpToDate>
  <CharactersWithSpaces>1956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2022-01-18T06:27:00Z</dcterms:created>
  <dc:creator>HP</dc:creator>
  <cp:lastModifiedBy>H Q</cp:lastModifiedBy>
  <dcterms:modified xsi:type="dcterms:W3CDTF">2022-01-19T07:02:09Z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B2DBB40649864D1F8ABACA3C92AE04F4</vt:lpwstr>
  </property>
</Properties>
</file>