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5AEE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方正小标宋简体" w:hAnsi="方正小标宋简体" w:eastAsia="方正小标宋简体" w:cs="方正小标宋简体"/>
          <w:snapToGrid w:val="0"/>
          <w:color w:val="000000"/>
          <w:kern w:val="0"/>
          <w:sz w:val="44"/>
          <w:szCs w:val="44"/>
          <w:lang w:val="en-US" w:eastAsia="zh-CN"/>
        </w:rPr>
      </w:pPr>
    </w:p>
    <w:p w14:paraId="2527B50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kern w:val="0"/>
          <w:sz w:val="44"/>
          <w:szCs w:val="44"/>
          <w:lang w:val="en-US" w:eastAsia="zh-CN"/>
        </w:rPr>
        <w:t>枣庄高新区</w:t>
      </w:r>
      <w:r>
        <w:rPr>
          <w:rFonts w:hint="eastAsia" w:ascii="方正小标宋简体" w:hAnsi="方正小标宋简体" w:eastAsia="方正小标宋简体" w:cs="方正小标宋简体"/>
          <w:snapToGrid w:val="0"/>
          <w:color w:val="000000"/>
          <w:kern w:val="0"/>
          <w:sz w:val="44"/>
          <w:szCs w:val="44"/>
        </w:rPr>
        <w:t>202</w:t>
      </w:r>
      <w:r>
        <w:rPr>
          <w:rFonts w:hint="eastAsia" w:ascii="方正小标宋简体" w:hAnsi="方正小标宋简体" w:eastAsia="方正小标宋简体" w:cs="方正小标宋简体"/>
          <w:snapToGrid w:val="0"/>
          <w:color w:val="000000"/>
          <w:kern w:val="0"/>
          <w:sz w:val="44"/>
          <w:szCs w:val="44"/>
          <w:lang w:val="en-US" w:eastAsia="zh-CN"/>
        </w:rPr>
        <w:t>5年度</w:t>
      </w:r>
      <w:r>
        <w:rPr>
          <w:rFonts w:hint="eastAsia" w:ascii="方正小标宋简体" w:hAnsi="方正小标宋简体" w:eastAsia="方正小标宋简体" w:cs="方正小标宋简体"/>
          <w:snapToGrid w:val="0"/>
          <w:color w:val="000000"/>
          <w:kern w:val="0"/>
          <w:sz w:val="44"/>
          <w:szCs w:val="44"/>
        </w:rPr>
        <w:t>法治政府建设</w:t>
      </w:r>
      <w:r>
        <w:rPr>
          <w:rFonts w:hint="eastAsia" w:ascii="方正小标宋简体" w:hAnsi="方正小标宋简体" w:eastAsia="方正小标宋简体" w:cs="方正小标宋简体"/>
          <w:snapToGrid w:val="0"/>
          <w:color w:val="000000"/>
          <w:kern w:val="0"/>
          <w:sz w:val="44"/>
          <w:szCs w:val="44"/>
          <w:lang w:val="en-US" w:eastAsia="zh-CN"/>
        </w:rPr>
        <w:t>情况</w:t>
      </w:r>
      <w:r>
        <w:rPr>
          <w:rFonts w:hint="eastAsia" w:ascii="方正小标宋简体" w:hAnsi="方正小标宋简体" w:eastAsia="方正小标宋简体" w:cs="方正小标宋简体"/>
          <w:snapToGrid w:val="0"/>
          <w:color w:val="000000"/>
          <w:kern w:val="0"/>
          <w:sz w:val="44"/>
          <w:szCs w:val="44"/>
        </w:rPr>
        <w:t>报告</w:t>
      </w:r>
    </w:p>
    <w:p w14:paraId="5BC116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eastAsia" w:ascii="仿宋_GB2312" w:hAnsi="仿宋_GB2312" w:eastAsia="仿宋_GB2312" w:cs="仿宋_GB2312"/>
          <w:snapToGrid w:val="0"/>
          <w:color w:val="000000"/>
          <w:kern w:val="0"/>
          <w:sz w:val="32"/>
          <w:szCs w:val="32"/>
        </w:rPr>
      </w:pPr>
    </w:p>
    <w:p w14:paraId="6B6F287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年以来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枣庄</w:t>
      </w:r>
      <w:r>
        <w:rPr>
          <w:rFonts w:hint="eastAsia" w:ascii="仿宋_GB2312" w:hAnsi="仿宋_GB2312" w:eastAsia="仿宋_GB2312" w:cs="仿宋_GB2312"/>
          <w:sz w:val="32"/>
          <w:szCs w:val="32"/>
        </w:rPr>
        <w:t>高新区党工委、管委会坚持以党的二十大精神</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习近平法治思想为指导，认真贯彻落实中共中央、国务院《法治政府建设实施纲要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》和市委、市政府《法治政府建设实施纲要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深入推进法治政府建设工作，为全区经济社会高质量跨越式发展提供了有力的法治保障。现将</w:t>
      </w:r>
      <w:r>
        <w:rPr>
          <w:rFonts w:hint="eastAsia" w:ascii="仿宋_GB2312" w:hAnsi="仿宋_GB2312" w:eastAsia="仿宋_GB2312" w:cs="仿宋_GB2312"/>
          <w:sz w:val="32"/>
          <w:szCs w:val="32"/>
          <w:lang w:val="en-US" w:eastAsia="zh-CN"/>
        </w:rPr>
        <w:t>2025年度</w:t>
      </w:r>
      <w:r>
        <w:rPr>
          <w:rFonts w:hint="eastAsia" w:ascii="仿宋_GB2312" w:hAnsi="仿宋_GB2312" w:eastAsia="仿宋_GB2312" w:cs="仿宋_GB2312"/>
          <w:sz w:val="32"/>
          <w:szCs w:val="32"/>
        </w:rPr>
        <w:t>法治政府建设情况</w:t>
      </w:r>
      <w:r>
        <w:rPr>
          <w:rFonts w:hint="eastAsia" w:ascii="仿宋_GB2312" w:hAnsi="仿宋_GB2312" w:eastAsia="仿宋_GB2312" w:cs="仿宋_GB2312"/>
          <w:sz w:val="32"/>
          <w:szCs w:val="32"/>
          <w:lang w:val="en-US" w:eastAsia="zh-CN"/>
        </w:rPr>
        <w:t>报告</w:t>
      </w:r>
      <w:r>
        <w:rPr>
          <w:rFonts w:hint="eastAsia" w:ascii="仿宋_GB2312" w:hAnsi="仿宋_GB2312" w:eastAsia="仿宋_GB2312" w:cs="仿宋_GB2312"/>
          <w:sz w:val="32"/>
          <w:szCs w:val="32"/>
        </w:rPr>
        <w:t>如下：</w:t>
      </w:r>
    </w:p>
    <w:p w14:paraId="065C98E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一、202</w:t>
      </w:r>
      <w:r>
        <w:rPr>
          <w:rFonts w:hint="eastAsia" w:ascii="黑体" w:hAnsi="黑体" w:eastAsia="黑体" w:cs="黑体"/>
          <w:sz w:val="32"/>
          <w:szCs w:val="32"/>
          <w:lang w:val="en-US" w:eastAsia="zh-CN"/>
        </w:rPr>
        <w:t>5</w:t>
      </w:r>
      <w:r>
        <w:rPr>
          <w:rFonts w:hint="eastAsia" w:ascii="黑体" w:hAnsi="黑体" w:eastAsia="黑体" w:cs="黑体"/>
          <w:sz w:val="32"/>
          <w:szCs w:val="32"/>
        </w:rPr>
        <w:t>年度推进法治政府建设的主要举措和成效</w:t>
      </w:r>
    </w:p>
    <w:p w14:paraId="6D867563">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深化理论武装</w:t>
      </w:r>
      <w:r>
        <w:rPr>
          <w:rFonts w:hint="eastAsia" w:ascii="楷体_GB2312" w:hAnsi="楷体_GB2312" w:eastAsia="楷体_GB2312" w:cs="楷体_GB2312"/>
          <w:sz w:val="32"/>
          <w:szCs w:val="32"/>
          <w:lang w:eastAsia="zh-CN"/>
        </w:rPr>
        <w:t>建设</w:t>
      </w:r>
      <w:r>
        <w:rPr>
          <w:rFonts w:hint="eastAsia" w:ascii="楷体_GB2312" w:hAnsi="楷体_GB2312" w:eastAsia="楷体_GB2312" w:cs="楷体_GB2312"/>
          <w:sz w:val="32"/>
          <w:szCs w:val="32"/>
        </w:rPr>
        <w:t>。</w:t>
      </w:r>
      <w:r>
        <w:rPr>
          <w:rFonts w:hint="default" w:ascii="Times New Roman" w:hAnsi="Times New Roman" w:eastAsia="仿宋_GB2312" w:cs="Times New Roman"/>
          <w:color w:val="000000"/>
          <w:sz w:val="32"/>
          <w:szCs w:val="32"/>
          <w:lang w:val="en-US" w:eastAsia="zh-CN"/>
        </w:rPr>
        <w:t>全面贯彻落实党的二十大和二十届</w:t>
      </w:r>
      <w:r>
        <w:rPr>
          <w:rFonts w:hint="eastAsia" w:ascii="Times New Roman" w:hAnsi="Times New Roman" w:eastAsia="仿宋_GB2312" w:cs="Times New Roman"/>
          <w:color w:val="000000"/>
          <w:sz w:val="32"/>
          <w:szCs w:val="32"/>
          <w:lang w:val="en-US" w:eastAsia="zh-CN"/>
        </w:rPr>
        <w:t>历次</w:t>
      </w:r>
      <w:r>
        <w:rPr>
          <w:rFonts w:hint="default" w:ascii="Times New Roman" w:hAnsi="Times New Roman" w:eastAsia="仿宋_GB2312" w:cs="Times New Roman"/>
          <w:color w:val="000000"/>
          <w:sz w:val="32"/>
          <w:szCs w:val="32"/>
          <w:lang w:val="en-US" w:eastAsia="zh-CN"/>
        </w:rPr>
        <w:t>全会精神，深入学习宣传贯彻习近平法治思想，</w:t>
      </w:r>
      <w:r>
        <w:rPr>
          <w:rFonts w:hint="default" w:ascii="Times New Roman" w:hAnsi="Times New Roman" w:eastAsia="仿宋_GB2312" w:cs="Times New Roman"/>
          <w:sz w:val="32"/>
          <w:szCs w:val="32"/>
          <w:lang w:val="en-US" w:eastAsia="zh-CN"/>
        </w:rPr>
        <w:t>认真贯彻落实党工委理论学习中心组和管委会区级领导干部办公会议集中学法制度，</w:t>
      </w:r>
      <w:r>
        <w:rPr>
          <w:rFonts w:hint="default" w:ascii="Times New Roman" w:hAnsi="Times New Roman" w:eastAsia="仿宋_GB2312" w:cs="Times New Roman"/>
          <w:color w:val="000000"/>
          <w:sz w:val="32"/>
          <w:szCs w:val="32"/>
        </w:rPr>
        <w:t>高标准</w:t>
      </w:r>
      <w:r>
        <w:rPr>
          <w:rFonts w:hint="default" w:ascii="Times New Roman" w:hAnsi="Times New Roman" w:eastAsia="仿宋_GB2312" w:cs="Times New Roman"/>
          <w:color w:val="000000"/>
          <w:sz w:val="32"/>
          <w:szCs w:val="32"/>
          <w:lang w:val="en-US" w:eastAsia="zh-CN"/>
        </w:rPr>
        <w:t>推动</w:t>
      </w:r>
      <w:r>
        <w:rPr>
          <w:rFonts w:hint="default" w:ascii="Times New Roman" w:hAnsi="Times New Roman" w:eastAsia="仿宋_GB2312" w:cs="Times New Roman"/>
          <w:color w:val="000000"/>
          <w:sz w:val="32"/>
          <w:szCs w:val="32"/>
        </w:rPr>
        <w:t>“八五”普法</w:t>
      </w:r>
      <w:r>
        <w:rPr>
          <w:rFonts w:hint="default" w:ascii="Times New Roman" w:hAnsi="Times New Roman" w:eastAsia="仿宋_GB2312" w:cs="Times New Roman"/>
          <w:color w:val="000000"/>
          <w:sz w:val="32"/>
          <w:szCs w:val="32"/>
          <w:lang w:val="en-US" w:eastAsia="zh-CN"/>
        </w:rPr>
        <w:t>总结验收和“九五”普法规划研究</w:t>
      </w:r>
      <w:r>
        <w:rPr>
          <w:rFonts w:hint="default" w:ascii="Times New Roman" w:hAnsi="Times New Roman" w:eastAsia="仿宋_GB2312" w:cs="Times New Roman"/>
          <w:color w:val="000000"/>
          <w:sz w:val="32"/>
          <w:szCs w:val="32"/>
        </w:rPr>
        <w:t>工作。</w:t>
      </w:r>
      <w:r>
        <w:rPr>
          <w:rFonts w:hint="eastAsia" w:ascii="Times New Roman" w:hAnsi="Times New Roman" w:eastAsia="仿宋_GB2312" w:cs="Times New Roman"/>
          <w:sz w:val="32"/>
          <w:szCs w:val="32"/>
          <w:lang w:val="en-US" w:eastAsia="zh-CN"/>
        </w:rPr>
        <w:t>全年</w:t>
      </w:r>
      <w:r>
        <w:rPr>
          <w:rFonts w:hint="default" w:ascii="Times New Roman" w:hAnsi="Times New Roman" w:eastAsia="仿宋_GB2312" w:cs="Times New Roman"/>
          <w:sz w:val="32"/>
          <w:szCs w:val="32"/>
        </w:rPr>
        <w:t>共开展</w:t>
      </w:r>
      <w:r>
        <w:rPr>
          <w:rFonts w:hint="default" w:ascii="Times New Roman" w:hAnsi="Times New Roman" w:eastAsia="仿宋_GB2312" w:cs="Times New Roman"/>
          <w:sz w:val="32"/>
          <w:szCs w:val="32"/>
          <w:lang w:val="en-US" w:eastAsia="zh-CN"/>
        </w:rPr>
        <w:t>党工委</w:t>
      </w:r>
      <w:r>
        <w:rPr>
          <w:rFonts w:hint="eastAsia" w:ascii="Times New Roman" w:hAnsi="Times New Roman" w:eastAsia="仿宋_GB2312" w:cs="Times New Roman"/>
          <w:sz w:val="32"/>
          <w:szCs w:val="32"/>
          <w:lang w:val="en-US" w:eastAsia="zh-CN"/>
        </w:rPr>
        <w:t>理论学习中心组</w:t>
      </w:r>
      <w:r>
        <w:rPr>
          <w:rFonts w:hint="default" w:ascii="Times New Roman" w:hAnsi="Times New Roman" w:eastAsia="仿宋_GB2312" w:cs="Times New Roman"/>
          <w:sz w:val="32"/>
          <w:szCs w:val="32"/>
          <w:lang w:val="en-US" w:eastAsia="zh-CN"/>
        </w:rPr>
        <w:t>学习习近平法治思想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区级领导干部办公会议集中学法</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次，举办普法专题讲座</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期。</w:t>
      </w:r>
      <w:r>
        <w:rPr>
          <w:rFonts w:hint="eastAsia" w:ascii="Times New Roman" w:hAnsi="Times New Roman" w:eastAsia="仿宋_GB2312" w:cs="Times New Roman"/>
          <w:color w:val="000000"/>
          <w:sz w:val="32"/>
          <w:szCs w:val="32"/>
          <w:lang w:val="en-US" w:eastAsia="zh-CN"/>
        </w:rPr>
        <w:t xml:space="preserve">   </w:t>
      </w:r>
    </w:p>
    <w:p w14:paraId="4B667503">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（二）深入推进依法行政。</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全面推行法律顾问制度，选聘5名公职律师担任管委会“党政一体”法律顾问，不断提升依法决策水平。二</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lang w:val="en-US" w:eastAsia="zh-CN"/>
        </w:rPr>
        <w:t>强化行政执法人员管理，全年组织2期执法资格培训和考试，新增持证执法人员28人，确保“持证上岗、亮证执法”；组织开展执法案卷评查4次，执法案卷规范化水平持续提高。三</w:t>
      </w:r>
      <w:r>
        <w:rPr>
          <w:rFonts w:hint="eastAsia" w:ascii="仿宋_GB2312" w:hAnsi="仿宋_GB2312" w:eastAsia="仿宋_GB2312" w:cs="仿宋_GB2312"/>
          <w:b/>
          <w:bCs/>
          <w:kern w:val="2"/>
          <w:sz w:val="32"/>
          <w:szCs w:val="32"/>
          <w:lang w:val="en-US" w:eastAsia="zh-CN" w:bidi="ar-SA"/>
        </w:rPr>
        <w:t>是</w:t>
      </w:r>
      <w:r>
        <w:rPr>
          <w:rFonts w:hint="eastAsia" w:ascii="仿宋_GB2312" w:hAnsi="仿宋_GB2312" w:eastAsia="仿宋_GB2312" w:cs="仿宋_GB2312"/>
          <w:b w:val="0"/>
          <w:bCs w:val="0"/>
          <w:kern w:val="2"/>
          <w:sz w:val="32"/>
          <w:szCs w:val="32"/>
          <w:lang w:val="en-US" w:eastAsia="zh-CN" w:bidi="ar-SA"/>
        </w:rPr>
        <w:t>扎实推进规范涉企行政执法专项行动。发挥“行政执法监督+法治督察”协同作用，对重点领域执法部门开展专项督察，</w:t>
      </w:r>
      <w:r>
        <w:rPr>
          <w:rFonts w:hint="eastAsia" w:ascii="仿宋_GB2312" w:hAnsi="仿宋_GB2312" w:eastAsia="仿宋_GB2312" w:cs="仿宋_GB2312"/>
          <w:b w:val="0"/>
          <w:bCs w:val="0"/>
          <w:i w:val="0"/>
          <w:iCs w:val="0"/>
          <w:color w:val="auto"/>
          <w:spacing w:val="0"/>
          <w:kern w:val="2"/>
          <w:sz w:val="32"/>
          <w:szCs w:val="32"/>
          <w:lang w:val="en-US" w:eastAsia="zh-CN" w:bidi="ar-SA"/>
        </w:rPr>
        <w:t>为经营主体营造公平公正公开的执法环境。</w:t>
      </w:r>
    </w:p>
    <w:p w14:paraId="77C4B64F">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（三）持续推进普法宣传教育</w:t>
      </w:r>
      <w:r>
        <w:rPr>
          <w:rFonts w:hint="eastAsia" w:ascii="楷体_GB2312" w:hAnsi="楷体_GB2312" w:eastAsia="楷体_GB2312" w:cs="楷体_GB2312"/>
          <w:sz w:val="32"/>
          <w:szCs w:val="32"/>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《枣庄高新区2025年度普法依法治理工作要点》，</w:t>
      </w:r>
      <w:r>
        <w:rPr>
          <w:rFonts w:hint="eastAsia" w:ascii="仿宋_GB2312" w:hAnsi="仿宋_GB2312" w:eastAsia="仿宋_GB2312" w:cs="仿宋_GB2312"/>
          <w:sz w:val="32"/>
          <w:szCs w:val="32"/>
          <w:lang w:val="en-US" w:eastAsia="zh-CN"/>
        </w:rPr>
        <w:t>严格</w:t>
      </w:r>
      <w:r>
        <w:rPr>
          <w:rFonts w:hint="eastAsia" w:ascii="仿宋_GB2312" w:hAnsi="仿宋_GB2312" w:eastAsia="仿宋_GB2312" w:cs="仿宋_GB2312"/>
          <w:sz w:val="32"/>
          <w:szCs w:val="32"/>
        </w:rPr>
        <w:t>落实“谁执法谁普法”责任制，</w:t>
      </w:r>
      <w:r>
        <w:rPr>
          <w:rFonts w:hint="eastAsia" w:ascii="仿宋_GB2312" w:hAnsi="仿宋_GB2312" w:eastAsia="仿宋_GB2312" w:cs="仿宋_GB2312"/>
          <w:sz w:val="32"/>
          <w:szCs w:val="32"/>
          <w:lang w:val="en-US" w:eastAsia="zh-CN"/>
        </w:rPr>
        <w:t>结合重要节点组织开展专题普法宣传活动</w:t>
      </w:r>
      <w:r>
        <w:rPr>
          <w:rFonts w:hint="eastAsia" w:ascii="仿宋_GB2312" w:hAnsi="仿宋_GB2312" w:eastAsia="仿宋_GB2312" w:cs="仿宋_GB2312"/>
          <w:sz w:val="32"/>
          <w:szCs w:val="32"/>
        </w:rPr>
        <w:t>186场次。</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val="en-US" w:eastAsia="zh-CN"/>
        </w:rPr>
        <w:t>针对性送法入企，围绕企业发展热点、难点问题共举办涉企法治讲座2</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惠及企业100多家，营造了良好的</w:t>
      </w:r>
      <w:r>
        <w:rPr>
          <w:rFonts w:hint="eastAsia" w:ascii="仿宋_GB2312" w:hAnsi="仿宋_GB2312" w:eastAsia="仿宋_GB2312" w:cs="仿宋_GB2312"/>
          <w:sz w:val="32"/>
          <w:szCs w:val="32"/>
          <w:lang w:eastAsia="zh-CN"/>
        </w:rPr>
        <w:t>法治化营商环境</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深化基层民主法治建设，深入开展民主法治示范村（社区）创建工作，张范街道大甘霖村</w:t>
      </w:r>
      <w:bookmarkStart w:id="0" w:name="_GoBack"/>
      <w:bookmarkEnd w:id="0"/>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lang w:eastAsia="zh-CN"/>
        </w:rPr>
        <w:t>第十批“全国民主法治示范村（社区）”。</w:t>
      </w:r>
    </w:p>
    <w:p w14:paraId="74F1E5B4">
      <w:pPr>
        <w:keepNext w:val="0"/>
        <w:keepLines w:val="0"/>
        <w:pageBreakBefore w:val="0"/>
        <w:widowControl w:val="0"/>
        <w:kinsoku/>
        <w:wordWrap/>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（四）健全</w:t>
      </w:r>
      <w:r>
        <w:rPr>
          <w:rFonts w:hint="eastAsia" w:ascii="楷体_GB2312" w:hAnsi="楷体_GB2312" w:eastAsia="楷体_GB2312" w:cs="楷体_GB2312"/>
          <w:b w:val="0"/>
          <w:bCs w:val="0"/>
          <w:sz w:val="32"/>
          <w:szCs w:val="32"/>
          <w:lang w:val="en-US" w:eastAsia="zh-CN"/>
        </w:rPr>
        <w:t>矛盾纠纷多元化解机制。</w:t>
      </w:r>
      <w:r>
        <w:rPr>
          <w:rFonts w:hint="eastAsia" w:ascii="Times New Roman" w:hAnsi="Times New Roman" w:eastAsia="仿宋_GB2312" w:cs="Times New Roman"/>
          <w:b w:val="0"/>
          <w:bCs w:val="0"/>
          <w:sz w:val="32"/>
          <w:szCs w:val="32"/>
          <w:lang w:val="en-US" w:eastAsia="zh-CN"/>
        </w:rPr>
        <w:t>整合区信访、公安、司法、12345市长热线、“两枣平台”等部门（单位）力量，把矛盾纠纷（初信初访）化解在基层。今年以来，各级综治中心受理各类矛盾纠纷600件，调解572件，成功率95.3%。推树“善治而为、枫润高新”综治品牌，创新实施“警调联动”调解工作机制，全力</w:t>
      </w:r>
      <w:r>
        <w:rPr>
          <w:rFonts w:hint="default" w:ascii="Times New Roman" w:hAnsi="Times New Roman" w:eastAsia="仿宋_GB2312" w:cs="Times New Roman"/>
          <w:b w:val="0"/>
          <w:bCs w:val="0"/>
          <w:sz w:val="32"/>
          <w:szCs w:val="32"/>
          <w:lang w:val="en-US" w:eastAsia="zh-CN"/>
        </w:rPr>
        <w:t>化解</w:t>
      </w:r>
      <w:r>
        <w:rPr>
          <w:rFonts w:hint="eastAsia" w:ascii="Times New Roman" w:hAnsi="Times New Roman" w:eastAsia="仿宋_GB2312" w:cs="Times New Roman"/>
          <w:b w:val="0"/>
          <w:bCs w:val="0"/>
          <w:sz w:val="32"/>
          <w:szCs w:val="32"/>
          <w:lang w:val="en-US" w:eastAsia="zh-CN"/>
        </w:rPr>
        <w:t>非警情</w:t>
      </w:r>
      <w:r>
        <w:rPr>
          <w:rFonts w:hint="default" w:ascii="Times New Roman" w:hAnsi="Times New Roman" w:eastAsia="仿宋_GB2312" w:cs="Times New Roman"/>
          <w:b w:val="0"/>
          <w:bCs w:val="0"/>
          <w:sz w:val="32"/>
          <w:szCs w:val="32"/>
          <w:lang w:val="en-US" w:eastAsia="zh-CN"/>
        </w:rPr>
        <w:t>矛盾纠纷</w:t>
      </w:r>
      <w:r>
        <w:rPr>
          <w:rFonts w:hint="eastAsia" w:ascii="Times New Roman" w:hAnsi="Times New Roman" w:eastAsia="仿宋_GB2312" w:cs="Times New Roman"/>
          <w:b w:val="0"/>
          <w:bCs w:val="0"/>
          <w:sz w:val="32"/>
          <w:szCs w:val="32"/>
          <w:lang w:val="en-US" w:eastAsia="zh-CN"/>
        </w:rPr>
        <w:t>。</w:t>
      </w:r>
    </w:p>
    <w:p w14:paraId="054FA99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二、202</w:t>
      </w:r>
      <w:r>
        <w:rPr>
          <w:rFonts w:hint="eastAsia" w:ascii="黑体" w:hAnsi="黑体" w:eastAsia="黑体" w:cs="黑体"/>
          <w:sz w:val="32"/>
          <w:szCs w:val="32"/>
          <w:lang w:val="en-US" w:eastAsia="zh-CN"/>
        </w:rPr>
        <w:t>5</w:t>
      </w:r>
      <w:r>
        <w:rPr>
          <w:rFonts w:hint="eastAsia" w:ascii="黑体" w:hAnsi="黑体" w:eastAsia="黑体" w:cs="黑体"/>
          <w:sz w:val="32"/>
          <w:szCs w:val="32"/>
        </w:rPr>
        <w:t>年度推进法治政府建设存在的不足和原因</w:t>
      </w:r>
    </w:p>
    <w:p w14:paraId="1EFC989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val="0"/>
          <w:bCs w:val="0"/>
          <w:sz w:val="32"/>
          <w:szCs w:val="32"/>
          <w:lang w:val="en-US" w:eastAsia="zh-CN"/>
        </w:rPr>
        <w:t>（一）</w:t>
      </w:r>
      <w:r>
        <w:rPr>
          <w:rFonts w:hint="eastAsia" w:ascii="Times New Roman" w:hAnsi="Times New Roman" w:eastAsia="楷体_GB2312" w:cs="Times New Roman"/>
          <w:b w:val="0"/>
          <w:bCs w:val="0"/>
          <w:sz w:val="32"/>
          <w:szCs w:val="32"/>
          <w:lang w:val="en-US" w:eastAsia="zh-CN"/>
        </w:rPr>
        <w:t>法治化营商环境有待进一步优化。</w:t>
      </w:r>
      <w:r>
        <w:rPr>
          <w:rFonts w:hint="eastAsia" w:ascii="仿宋_GB2312" w:hAnsi="仿宋_GB2312" w:eastAsia="仿宋_GB2312" w:cs="仿宋_GB2312"/>
          <w:b w:val="0"/>
          <w:bCs w:val="0"/>
          <w:kern w:val="2"/>
          <w:sz w:val="32"/>
          <w:szCs w:val="32"/>
          <w:lang w:val="en-US" w:eastAsia="zh-CN" w:bidi="ar-SA"/>
        </w:rPr>
        <w:t>优化法治化营商环境和提升群众满意度工作还存在层层传导压力不足，工作安排部署与推进落实、督导奖惩、跟踪问效等环节衔接不紧密，监管不规范以及机制不完善等问题。</w:t>
      </w:r>
    </w:p>
    <w:p w14:paraId="4FE8B63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40"/>
          <w:lang w:val="en-US" w:eastAsia="zh-CN"/>
        </w:rPr>
      </w:pPr>
      <w:r>
        <w:rPr>
          <w:rFonts w:hint="eastAsia" w:ascii="Times New Roman" w:hAnsi="Times New Roman" w:eastAsia="楷体_GB2312" w:cs="Times New Roman"/>
          <w:b w:val="0"/>
          <w:bCs w:val="0"/>
          <w:sz w:val="32"/>
          <w:szCs w:val="32"/>
          <w:lang w:val="en-US" w:eastAsia="zh-CN"/>
        </w:rPr>
        <w:t>（二）基层法治基础仍需夯实。</w:t>
      </w:r>
      <w:r>
        <w:rPr>
          <w:rFonts w:hint="eastAsia" w:ascii="Times New Roman" w:hAnsi="Times New Roman" w:eastAsia="仿宋_GB2312" w:cs="Times New Roman"/>
          <w:b w:val="0"/>
          <w:bCs w:val="0"/>
          <w:sz w:val="32"/>
          <w:szCs w:val="32"/>
          <w:lang w:val="en-US" w:eastAsia="zh-CN"/>
        </w:rPr>
        <w:t>基层</w:t>
      </w:r>
      <w:r>
        <w:rPr>
          <w:rFonts w:hint="default" w:ascii="Times New Roman" w:hAnsi="Times New Roman" w:eastAsia="仿宋_GB2312" w:cs="Times New Roman"/>
          <w:b w:val="0"/>
          <w:bCs w:val="0"/>
          <w:sz w:val="32"/>
          <w:szCs w:val="32"/>
          <w:lang w:val="en-US" w:eastAsia="zh-CN"/>
        </w:rPr>
        <w:t>法治建设推进力度不均衡，基层依法治理工作机制有待进一步健全</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法治建设的“最</w:t>
      </w:r>
      <w:r>
        <w:rPr>
          <w:rFonts w:hint="default" w:ascii="Times New Roman" w:hAnsi="Times New Roman" w:eastAsia="仿宋_GB2312" w:cs="Times New Roman"/>
          <w:b w:val="0"/>
          <w:bCs w:val="0"/>
          <w:spacing w:val="-6"/>
          <w:sz w:val="32"/>
          <w:szCs w:val="32"/>
          <w:lang w:val="en-US" w:eastAsia="zh-CN"/>
        </w:rPr>
        <w:t>后一公里”有待进一步畅通，基层法治队伍和阵地建设需持续加强。</w:t>
      </w:r>
    </w:p>
    <w:p w14:paraId="0F97103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Times New Roman" w:hAnsi="Times New Roman" w:eastAsia="楷体_GB2312" w:cs="Times New Roman"/>
          <w:b w:val="0"/>
          <w:bCs w:val="0"/>
          <w:sz w:val="32"/>
          <w:szCs w:val="32"/>
          <w:lang w:val="en-US" w:eastAsia="zh-CN"/>
        </w:rPr>
        <w:t>（三）普法宣传质效有待进一步提升。</w:t>
      </w:r>
      <w:r>
        <w:rPr>
          <w:rFonts w:hint="default" w:ascii="Times New Roman" w:hAnsi="Times New Roman" w:eastAsia="仿宋_GB2312" w:cs="Times New Roman"/>
          <w:b w:val="0"/>
          <w:bCs w:val="0"/>
          <w:kern w:val="2"/>
          <w:sz w:val="32"/>
          <w:szCs w:val="32"/>
          <w:lang w:val="en-US" w:eastAsia="zh-CN" w:bidi="ar-SA"/>
        </w:rPr>
        <w:t>“谁执法谁普法”普法责任制落实上仍缺少统筹谋划，职能部门</w:t>
      </w:r>
      <w:r>
        <w:rPr>
          <w:rFonts w:hint="eastAsia" w:ascii="Times New Roman" w:hAnsi="Times New Roman" w:eastAsia="仿宋_GB2312" w:cs="Times New Roman"/>
          <w:b w:val="0"/>
          <w:bCs w:val="0"/>
          <w:kern w:val="2"/>
          <w:sz w:val="32"/>
          <w:szCs w:val="32"/>
          <w:lang w:val="en-US" w:eastAsia="zh-CN" w:bidi="ar-SA"/>
        </w:rPr>
        <w:t>之间协同不够</w:t>
      </w:r>
      <w:r>
        <w:rPr>
          <w:rFonts w:hint="default" w:ascii="Times New Roman" w:hAnsi="Times New Roman" w:eastAsia="仿宋_GB2312" w:cs="Times New Roman"/>
          <w:b w:val="0"/>
          <w:bCs w:val="0"/>
          <w:kern w:val="2"/>
          <w:sz w:val="32"/>
          <w:szCs w:val="32"/>
          <w:lang w:val="en-US" w:eastAsia="zh-CN" w:bidi="ar-SA"/>
        </w:rPr>
        <w:t>，法治宣传载体和宣传内容较为传统单一，宣传效果还不够明显。</w:t>
      </w:r>
    </w:p>
    <w:p w14:paraId="2B897E3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三、202</w:t>
      </w:r>
      <w:r>
        <w:rPr>
          <w:rFonts w:hint="eastAsia" w:ascii="黑体" w:hAnsi="黑体" w:eastAsia="黑体" w:cs="黑体"/>
          <w:sz w:val="32"/>
          <w:szCs w:val="32"/>
          <w:lang w:val="en-US" w:eastAsia="zh-CN"/>
        </w:rPr>
        <w:t>5</w:t>
      </w:r>
      <w:r>
        <w:rPr>
          <w:rFonts w:hint="eastAsia" w:ascii="黑体" w:hAnsi="黑体" w:eastAsia="黑体" w:cs="黑体"/>
          <w:sz w:val="32"/>
          <w:szCs w:val="32"/>
        </w:rPr>
        <w:t>年度党政主要负责人履行推进法治建设第一责任人职责，加强法治政府建设的有关情况</w:t>
      </w:r>
    </w:p>
    <w:p w14:paraId="503BA4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pPr>
      <w:r>
        <w:rPr>
          <w:rFonts w:hint="eastAsia" w:ascii="楷体_GB2312" w:hAnsi="Times New Roman" w:eastAsia="楷体_GB2312" w:cs="Times New Roman"/>
          <w:color w:val="000000" w:themeColor="text1"/>
          <w:spacing w:val="0"/>
          <w:kern w:val="2"/>
          <w:sz w:val="32"/>
          <w:szCs w:val="32"/>
          <w:lang w:val="en-US" w:eastAsia="zh-CN"/>
          <w14:textFill>
            <w14:solidFill>
              <w14:schemeClr w14:val="tx1"/>
            </w14:solidFill>
          </w14:textFill>
        </w:rPr>
        <w:t>（一）全力践行法治理念。</w:t>
      </w:r>
      <w:r>
        <w:rPr>
          <w:rFonts w:hint="eastAsia"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区党政主要负责人</w: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严格落实领导干部插手具体案件处理等制度</w:t>
      </w:r>
      <w:r>
        <w:rPr>
          <w:rFonts w:hint="eastAsia"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大力支持全区</w:t>
      </w:r>
      <w:r>
        <w:rPr>
          <w:rFonts w:hint="eastAsia"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各部门</w: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依法履行职能，</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强化公职律师</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法律顾问</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在重大行政</w: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决策</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制定执行过程中的参谋作用</w: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，推进重大行政决策科学化、民主化、法治化</w:t>
      </w:r>
      <w:r>
        <w:rPr>
          <w:rFonts w:hint="eastAsia"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p>
    <w:p w14:paraId="77C1687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pPr>
      <w:r>
        <w:rPr>
          <w:rFonts w:hint="eastAsia" w:ascii="楷体_GB2312" w:hAnsi="Times New Roman" w:eastAsia="楷体_GB2312" w:cs="Times New Roman"/>
          <w:color w:val="000000" w:themeColor="text1"/>
          <w:spacing w:val="0"/>
          <w:kern w:val="2"/>
          <w:sz w:val="32"/>
          <w:szCs w:val="32"/>
          <w:lang w:val="en-US" w:eastAsia="zh-CN"/>
          <w14:textFill>
            <w14:solidFill>
              <w14:schemeClr w14:val="tx1"/>
            </w14:solidFill>
          </w14:textFill>
        </w:rPr>
        <w:t>（二）全力履行推进法治建设第一责任人职责</w:t>
      </w:r>
      <w:r>
        <w:rPr>
          <w:rFonts w:hint="default" w:ascii="楷体_GB2312" w:hAnsi="Times New Roman" w:eastAsia="楷体_GB2312" w:cs="Times New Roman"/>
          <w:color w:val="000000" w:themeColor="text1"/>
          <w:spacing w:val="0"/>
          <w:kern w:val="2"/>
          <w:sz w:val="32"/>
          <w:szCs w:val="32"/>
          <w:lang w:val="en-US" w:eastAsia="zh-CN"/>
          <w14:textFill>
            <w14:solidFill>
              <w14:schemeClr w14:val="tx1"/>
            </w14:solidFill>
          </w14:textFill>
        </w:rPr>
        <w:t>。</w:t>
      </w:r>
      <w:r>
        <w:rPr>
          <w:rFonts w:hint="eastAsia" w:ascii="Times New Roman" w:hAnsi="Times New Roman" w:eastAsia="仿宋_GB2312" w:cs="Times New Roman"/>
          <w:color w:val="000000"/>
          <w:sz w:val="32"/>
          <w:szCs w:val="32"/>
          <w:lang w:val="en-US" w:eastAsia="zh-CN"/>
        </w:rPr>
        <w:t>区党政主要负责人</w:t>
      </w:r>
      <w:r>
        <w:rPr>
          <w:rFonts w:hint="default" w:ascii="Times New Roman" w:hAnsi="Times New Roman" w:eastAsia="仿宋_GB2312" w:cs="Times New Roman"/>
          <w:color w:val="000000"/>
          <w:sz w:val="32"/>
          <w:szCs w:val="32"/>
          <w:lang w:val="en-US" w:eastAsia="zh-CN"/>
        </w:rPr>
        <w:t>深入学习宣传贯彻习近平法治思想，</w:t>
      </w:r>
      <w:r>
        <w:rPr>
          <w:rFonts w:hint="default" w:ascii="Times New Roman" w:hAnsi="Times New Roman" w:eastAsia="仿宋_GB2312" w:cs="Times New Roman"/>
          <w:sz w:val="32"/>
          <w:szCs w:val="32"/>
          <w:lang w:val="en-US" w:eastAsia="zh-CN"/>
        </w:rPr>
        <w:t>牢牢抓住领导干部这个“关键少数”，发挥示范引领作用。</w:t>
      </w:r>
      <w:r>
        <w:rPr>
          <w:rFonts w:hint="eastAsia" w:ascii="Times New Roman" w:hAnsi="Times New Roman" w:eastAsia="仿宋_GB2312" w:cs="Times New Roman"/>
          <w:b w:val="0"/>
          <w:bCs/>
          <w:color w:val="000000" w:themeColor="text1"/>
          <w:spacing w:val="0"/>
          <w:sz w:val="32"/>
          <w:szCs w:val="32"/>
          <w:lang w:eastAsia="zh-CN"/>
          <w14:textFill>
            <w14:solidFill>
              <w14:schemeClr w14:val="tx1"/>
            </w14:solidFill>
          </w14:textFill>
        </w:rPr>
        <w:t>定期组织</w:t>
      </w:r>
      <w:r>
        <w:rPr>
          <w:rFonts w:hint="eastAsia"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区</w:t>
      </w:r>
      <w:r>
        <w:rPr>
          <w:rFonts w:hint="eastAsia" w:ascii="Times New Roman" w:hAnsi="Times New Roman" w:eastAsia="仿宋_GB2312" w:cs="Times New Roman"/>
          <w:b w:val="0"/>
          <w:bCs/>
          <w:color w:val="000000" w:themeColor="text1"/>
          <w:spacing w:val="0"/>
          <w:sz w:val="32"/>
          <w:szCs w:val="32"/>
          <w:lang w:eastAsia="zh-CN"/>
          <w14:textFill>
            <w14:solidFill>
              <w14:schemeClr w14:val="tx1"/>
            </w14:solidFill>
          </w14:textFill>
        </w:rPr>
        <w:t>党工委理论学习中心组集中学法以及法治政府建设系列专题讲座，定期听取法治政府建设工作情况的有关汇报，对全区法治建设工作亲自部署、重大问题亲自过问、重点环节亲自督办。</w:t>
      </w:r>
    </w:p>
    <w:p w14:paraId="76D5776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pPr>
      <w:r>
        <w:rPr>
          <w:rFonts w:hint="eastAsia" w:ascii="楷体_GB2312" w:hAnsi="Times New Roman" w:eastAsia="楷体_GB2312" w:cs="Times New Roman"/>
          <w:color w:val="000000" w:themeColor="text1"/>
          <w:spacing w:val="0"/>
          <w:kern w:val="2"/>
          <w:sz w:val="32"/>
          <w:szCs w:val="32"/>
          <w:lang w:val="en-US" w:eastAsia="zh-CN"/>
          <w14:textFill>
            <w14:solidFill>
              <w14:schemeClr w14:val="tx1"/>
            </w14:solidFill>
          </w14:textFill>
        </w:rPr>
        <w:t>（三）扎实</w:t>
      </w:r>
      <w:r>
        <w:rPr>
          <w:rFonts w:hint="default" w:ascii="楷体_GB2312" w:hAnsi="Times New Roman" w:eastAsia="楷体_GB2312" w:cs="Times New Roman"/>
          <w:color w:val="000000" w:themeColor="text1"/>
          <w:spacing w:val="0"/>
          <w:kern w:val="2"/>
          <w:sz w:val="32"/>
          <w:szCs w:val="32"/>
          <w:lang w:val="en-US" w:eastAsia="zh-CN"/>
          <w14:textFill>
            <w14:solidFill>
              <w14:schemeClr w14:val="tx1"/>
            </w14:solidFill>
          </w14:textFill>
        </w:rPr>
        <w:t>推动工作落实。</w: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把</w:t>
      </w:r>
      <w:r>
        <w:rPr>
          <w:rFonts w:hint="eastAsia"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法治建设成效</w:t>
      </w:r>
      <w:r>
        <w:rPr>
          <w:rFonts w:hint="eastAsia"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纳入</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全区考核工作重点</w: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，层层传导压力、</w:t>
      </w:r>
      <w:r>
        <w:rPr>
          <w:rFonts w:hint="eastAsia"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压细</w:t>
      </w:r>
      <w:r>
        <w:rPr>
          <w:rFonts w:hint="default" w:ascii="Times New Roman" w:hAnsi="Times New Roman" w:eastAsia="仿宋_GB2312" w:cs="Times New Roman"/>
          <w:b w:val="0"/>
          <w:bCs/>
          <w:color w:val="000000" w:themeColor="text1"/>
          <w:spacing w:val="0"/>
          <w:sz w:val="32"/>
          <w:szCs w:val="32"/>
          <w14:textFill>
            <w14:solidFill>
              <w14:schemeClr w14:val="tx1"/>
            </w14:solidFill>
          </w14:textFill>
        </w:rPr>
        <w:t>压实责任。</w:t>
      </w:r>
      <w:r>
        <w:rPr>
          <w:rFonts w:hint="eastAsia" w:ascii="仿宋_GB2312" w:hAnsi="仿宋_GB2312" w:eastAsia="仿宋_GB2312" w:cs="仿宋_GB2312"/>
          <w:sz w:val="32"/>
          <w:szCs w:val="32"/>
        </w:rPr>
        <w:t>审议通过</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年度枣庄高新区管委会主任办公会议集中学法计划》</w:t>
      </w:r>
      <w:r>
        <w:rPr>
          <w:rFonts w:hint="eastAsia" w:ascii="仿宋_GB2312" w:hAnsi="仿宋_GB2312" w:eastAsia="仿宋_GB2312" w:cs="仿宋_GB2312"/>
          <w:sz w:val="32"/>
          <w:szCs w:val="32"/>
        </w:rPr>
        <w:t>《枣庄高新区202</w:t>
      </w:r>
      <w:r>
        <w:rPr>
          <w:rFonts w:hint="eastAsia" w:ascii="仿宋_GB2312" w:hAnsi="仿宋_GB2312" w:eastAsia="仿宋_GB2312" w:cs="仿宋_GB2312"/>
          <w:sz w:val="32"/>
          <w:szCs w:val="32"/>
          <w:lang w:val="en-US" w:eastAsia="zh-CN"/>
        </w:rPr>
        <w:t>5年度</w:t>
      </w:r>
      <w:r>
        <w:rPr>
          <w:rFonts w:hint="eastAsia" w:ascii="仿宋_GB2312" w:hAnsi="仿宋_GB2312" w:eastAsia="仿宋_GB2312" w:cs="仿宋_GB2312"/>
          <w:sz w:val="32"/>
          <w:szCs w:val="32"/>
        </w:rPr>
        <w:t>普法依法治理工作要点》等</w:t>
      </w:r>
      <w:r>
        <w:rPr>
          <w:rFonts w:hint="eastAsia" w:ascii="仿宋_GB2312" w:hAnsi="仿宋_GB2312" w:eastAsia="仿宋_GB2312" w:cs="仿宋_GB2312"/>
          <w:sz w:val="32"/>
          <w:szCs w:val="32"/>
          <w:lang w:val="en-US" w:eastAsia="zh-CN"/>
        </w:rPr>
        <w:t>制度性</w:t>
      </w:r>
      <w:r>
        <w:rPr>
          <w:rFonts w:hint="eastAsia" w:ascii="仿宋_GB2312" w:hAnsi="仿宋_GB2312" w:eastAsia="仿宋_GB2312" w:cs="仿宋_GB2312"/>
          <w:sz w:val="32"/>
          <w:szCs w:val="32"/>
        </w:rPr>
        <w:t>文件。</w:t>
      </w:r>
    </w:p>
    <w:p w14:paraId="3792834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四、202</w:t>
      </w:r>
      <w:r>
        <w:rPr>
          <w:rFonts w:hint="eastAsia" w:ascii="黑体" w:hAnsi="黑体" w:eastAsia="黑体" w:cs="黑体"/>
          <w:sz w:val="32"/>
          <w:szCs w:val="32"/>
          <w:lang w:val="en-US" w:eastAsia="zh-CN"/>
        </w:rPr>
        <w:t>6</w:t>
      </w:r>
      <w:r>
        <w:rPr>
          <w:rFonts w:hint="eastAsia" w:ascii="黑体" w:hAnsi="黑体" w:eastAsia="黑体" w:cs="黑体"/>
          <w:sz w:val="32"/>
          <w:szCs w:val="32"/>
        </w:rPr>
        <w:t>年度推进法治政府建设的主要安排</w:t>
      </w:r>
    </w:p>
    <w:p w14:paraId="76C1CC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楷体_GB2312" w:cs="Times New Roman"/>
          <w:b w:val="0"/>
          <w:bCs w:val="0"/>
          <w:color w:val="auto"/>
          <w:spacing w:val="0"/>
          <w:sz w:val="32"/>
          <w:szCs w:val="32"/>
          <w:lang w:val="en-US" w:eastAsia="zh-CN"/>
        </w:rPr>
        <w:t>（一）聚焦思想引领，持续深化法治思维建设。</w:t>
      </w:r>
      <w:r>
        <w:rPr>
          <w:rFonts w:hint="default" w:ascii="Times New Roman" w:hAnsi="Times New Roman" w:eastAsia="仿宋_GB2312" w:cs="Times New Roman"/>
          <w:b w:val="0"/>
          <w:bCs w:val="0"/>
          <w:color w:val="auto"/>
          <w:spacing w:val="0"/>
          <w:sz w:val="32"/>
          <w:szCs w:val="32"/>
          <w:lang w:val="en-US" w:eastAsia="zh-CN"/>
        </w:rPr>
        <w:t>坚持将学习贯彻习近平法治思想作为重大政治任务，及时跟进</w:t>
      </w:r>
      <w:r>
        <w:rPr>
          <w:rFonts w:hint="eastAsia" w:ascii="Times New Roman" w:hAnsi="Times New Roman" w:eastAsia="仿宋_GB2312" w:cs="Times New Roman"/>
          <w:b w:val="0"/>
          <w:bCs w:val="0"/>
          <w:color w:val="auto"/>
          <w:spacing w:val="0"/>
          <w:sz w:val="32"/>
          <w:szCs w:val="32"/>
          <w:lang w:val="en-US" w:eastAsia="zh-CN"/>
        </w:rPr>
        <w:t>学习贯彻习近平总书记</w:t>
      </w:r>
      <w:r>
        <w:rPr>
          <w:rFonts w:hint="default" w:ascii="Times New Roman" w:hAnsi="Times New Roman" w:eastAsia="仿宋_GB2312" w:cs="Times New Roman"/>
          <w:b w:val="0"/>
          <w:bCs w:val="0"/>
          <w:color w:val="auto"/>
          <w:spacing w:val="0"/>
          <w:sz w:val="32"/>
          <w:szCs w:val="32"/>
          <w:lang w:val="en-US" w:eastAsia="zh-CN"/>
        </w:rPr>
        <w:t>关于全面依法治国的新论述新要求</w:t>
      </w:r>
      <w:r>
        <w:rPr>
          <w:rFonts w:hint="eastAsia" w:ascii="Times New Roman" w:hAnsi="Times New Roman" w:eastAsia="仿宋_GB2312" w:cs="Times New Roman"/>
          <w:b w:val="0"/>
          <w:bCs w:val="0"/>
          <w:color w:val="auto"/>
          <w:spacing w:val="0"/>
          <w:sz w:val="32"/>
          <w:szCs w:val="32"/>
          <w:lang w:val="en-US" w:eastAsia="zh-CN"/>
        </w:rPr>
        <w:t>。继续落实好</w:t>
      </w:r>
      <w:r>
        <w:rPr>
          <w:rFonts w:hint="default" w:ascii="Times New Roman" w:hAnsi="Times New Roman" w:eastAsia="仿宋_GB2312" w:cs="Times New Roman"/>
          <w:b w:val="0"/>
          <w:bCs w:val="0"/>
          <w:color w:val="auto"/>
          <w:spacing w:val="0"/>
          <w:sz w:val="32"/>
          <w:szCs w:val="32"/>
          <w:lang w:val="en-US" w:eastAsia="zh-CN"/>
        </w:rPr>
        <w:t>领导干部带头学法制度，推动领导干部带头宣讲研讨、学以致用，切实提高运用法治思维和法治方式深化改革、推动发展、化解矛盾、维护稳定的能力。</w:t>
      </w:r>
    </w:p>
    <w:p w14:paraId="4C5808E1">
      <w:pPr>
        <w:pStyle w:val="2"/>
        <w:keepNext w:val="0"/>
        <w:keepLines w:val="0"/>
        <w:pageBreakBefore w:val="0"/>
        <w:widowControl w:val="0"/>
        <w:numPr>
          <w:ilvl w:val="0"/>
          <w:numId w:val="0"/>
        </w:numPr>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楷体_GB2312" w:cs="Times New Roman"/>
          <w:b w:val="0"/>
          <w:bCs w:val="0"/>
          <w:color w:val="auto"/>
          <w:kern w:val="0"/>
          <w:sz w:val="32"/>
          <w:szCs w:val="32"/>
          <w:lang w:val="en-US" w:eastAsia="zh-CN" w:bidi="ar"/>
        </w:rPr>
        <w:t>（二）</w:t>
      </w:r>
      <w:r>
        <w:rPr>
          <w:rFonts w:hint="eastAsia" w:ascii="楷体_GB2312" w:hAnsi="楷体_GB2312" w:eastAsia="楷体_GB2312" w:cs="楷体_GB2312"/>
          <w:b w:val="0"/>
          <w:bCs w:val="0"/>
          <w:color w:val="auto"/>
          <w:spacing w:val="0"/>
          <w:kern w:val="2"/>
          <w:sz w:val="32"/>
          <w:szCs w:val="32"/>
          <w:lang w:val="en-US" w:eastAsia="zh-CN" w:bidi="ar-SA"/>
        </w:rPr>
        <w:t>聚焦强基固本，切实筑牢基层法治根基。</w:t>
      </w:r>
      <w:r>
        <w:rPr>
          <w:rFonts w:hint="default" w:ascii="Times New Roman" w:hAnsi="Times New Roman" w:eastAsia="仿宋_GB2312" w:cs="Times New Roman"/>
          <w:b w:val="0"/>
          <w:bCs w:val="0"/>
          <w:color w:val="auto"/>
          <w:spacing w:val="0"/>
          <w:kern w:val="2"/>
          <w:sz w:val="32"/>
          <w:szCs w:val="32"/>
          <w:lang w:val="en-US" w:eastAsia="zh-CN" w:bidi="ar-SA"/>
        </w:rPr>
        <w:t>推动法治建设重心下移、力量下沉，健全</w:t>
      </w:r>
      <w:r>
        <w:rPr>
          <w:rFonts w:hint="eastAsia" w:ascii="Times New Roman" w:hAnsi="Times New Roman" w:eastAsia="仿宋_GB2312" w:cs="Times New Roman"/>
          <w:b w:val="0"/>
          <w:bCs w:val="0"/>
          <w:color w:val="auto"/>
          <w:spacing w:val="0"/>
          <w:kern w:val="2"/>
          <w:sz w:val="32"/>
          <w:szCs w:val="32"/>
          <w:lang w:val="en-US" w:eastAsia="zh-CN" w:bidi="ar-SA"/>
        </w:rPr>
        <w:t>基层</w:t>
      </w:r>
      <w:r>
        <w:rPr>
          <w:rFonts w:hint="default" w:ascii="Times New Roman" w:hAnsi="Times New Roman" w:eastAsia="仿宋_GB2312" w:cs="Times New Roman"/>
          <w:b w:val="0"/>
          <w:bCs w:val="0"/>
          <w:color w:val="auto"/>
          <w:spacing w:val="0"/>
          <w:kern w:val="2"/>
          <w:sz w:val="32"/>
          <w:szCs w:val="32"/>
          <w:lang w:val="en-US" w:eastAsia="zh-CN" w:bidi="ar-SA"/>
        </w:rPr>
        <w:t>法治建设工作机制和考评体系</w:t>
      </w:r>
      <w:r>
        <w:rPr>
          <w:rFonts w:hint="eastAsia" w:ascii="Times New Roman" w:hAnsi="Times New Roman" w:eastAsia="仿宋_GB2312" w:cs="Times New Roman"/>
          <w:b w:val="0"/>
          <w:bCs w:val="0"/>
          <w:color w:val="auto"/>
          <w:spacing w:val="0"/>
          <w:kern w:val="2"/>
          <w:sz w:val="32"/>
          <w:szCs w:val="32"/>
          <w:lang w:val="en-US" w:eastAsia="zh-CN" w:bidi="ar-SA"/>
        </w:rPr>
        <w:t>，</w:t>
      </w:r>
      <w:r>
        <w:rPr>
          <w:rFonts w:hint="default" w:ascii="Times New Roman" w:hAnsi="Times New Roman" w:eastAsia="仿宋_GB2312" w:cs="Times New Roman"/>
          <w:b w:val="0"/>
          <w:bCs w:val="0"/>
          <w:color w:val="auto"/>
          <w:spacing w:val="0"/>
          <w:kern w:val="2"/>
          <w:sz w:val="32"/>
          <w:szCs w:val="32"/>
          <w:lang w:val="en-US" w:eastAsia="zh-CN" w:bidi="ar-SA"/>
        </w:rPr>
        <w:t>着力加强法治队伍专业化建设和阵地规范化管理，提升基层干部运用法治方式化解矛盾、服务群众、管理事务的能力。</w:t>
      </w:r>
    </w:p>
    <w:p w14:paraId="603969D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楷体_GB2312" w:cs="Times New Roman"/>
          <w:b w:val="0"/>
          <w:bCs w:val="0"/>
          <w:color w:val="auto"/>
          <w:kern w:val="0"/>
          <w:sz w:val="32"/>
          <w:szCs w:val="32"/>
          <w:lang w:val="en-US" w:eastAsia="zh-CN" w:bidi="ar"/>
        </w:rPr>
        <w:t>（</w:t>
      </w:r>
      <w:r>
        <w:rPr>
          <w:rFonts w:hint="eastAsia" w:ascii="Times New Roman" w:hAnsi="Times New Roman" w:eastAsia="楷体_GB2312" w:cs="Times New Roman"/>
          <w:b w:val="0"/>
          <w:bCs w:val="0"/>
          <w:color w:val="auto"/>
          <w:kern w:val="0"/>
          <w:sz w:val="32"/>
          <w:szCs w:val="32"/>
          <w:lang w:val="en-US" w:eastAsia="zh-CN" w:bidi="ar"/>
        </w:rPr>
        <w:t>三</w:t>
      </w:r>
      <w:r>
        <w:rPr>
          <w:rFonts w:hint="default" w:ascii="Times New Roman" w:hAnsi="Times New Roman" w:eastAsia="楷体_GB2312" w:cs="Times New Roman"/>
          <w:b w:val="0"/>
          <w:bCs w:val="0"/>
          <w:color w:val="auto"/>
          <w:kern w:val="0"/>
          <w:sz w:val="32"/>
          <w:szCs w:val="32"/>
          <w:lang w:val="en-US" w:eastAsia="zh-CN" w:bidi="ar"/>
        </w:rPr>
        <w:t>）聚焦精准普法，着力增强法治宣传实效。</w:t>
      </w:r>
      <w:r>
        <w:rPr>
          <w:rFonts w:hint="eastAsia" w:ascii="Times New Roman" w:hAnsi="Times New Roman" w:eastAsia="仿宋_GB2312" w:cs="Times New Roman"/>
          <w:b w:val="0"/>
          <w:bCs w:val="0"/>
          <w:color w:val="auto"/>
          <w:spacing w:val="0"/>
          <w:sz w:val="32"/>
          <w:szCs w:val="32"/>
          <w:lang w:val="en-US" w:eastAsia="zh-CN"/>
        </w:rPr>
        <w:t>坚持把</w:t>
      </w:r>
      <w:r>
        <w:rPr>
          <w:rFonts w:hint="default" w:ascii="Times New Roman" w:hAnsi="Times New Roman" w:eastAsia="仿宋_GB2312" w:cs="Times New Roman"/>
          <w:b w:val="0"/>
          <w:bCs w:val="0"/>
          <w:color w:val="auto"/>
          <w:spacing w:val="0"/>
          <w:sz w:val="32"/>
          <w:szCs w:val="32"/>
        </w:rPr>
        <w:t>全民普法和守法作为基础工程，强化“谁执法谁普法”责任制落实</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加强年度考核、阶段性检查和专项</w:t>
      </w:r>
      <w:r>
        <w:rPr>
          <w:rFonts w:hint="default" w:ascii="Times New Roman" w:hAnsi="Times New Roman" w:eastAsia="仿宋_GB2312" w:cs="Times New Roman"/>
          <w:b w:val="0"/>
          <w:bCs w:val="0"/>
          <w:color w:val="auto"/>
          <w:spacing w:val="0"/>
          <w:sz w:val="32"/>
          <w:szCs w:val="32"/>
          <w:lang w:val="en-US" w:eastAsia="zh-CN"/>
        </w:rPr>
        <w:t>督察</w:t>
      </w:r>
      <w:r>
        <w:rPr>
          <w:rFonts w:hint="default" w:ascii="Times New Roman" w:hAnsi="Times New Roman" w:eastAsia="仿宋_GB2312" w:cs="Times New Roman"/>
          <w:b w:val="0"/>
          <w:bCs w:val="0"/>
          <w:color w:val="auto"/>
          <w:spacing w:val="0"/>
          <w:sz w:val="32"/>
          <w:szCs w:val="32"/>
        </w:rPr>
        <w:t>，推动普法依法治理工作可持续发展。</w:t>
      </w:r>
    </w:p>
    <w:p w14:paraId="7AED0C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color w:val="auto"/>
          <w:spacing w:val="0"/>
          <w:sz w:val="32"/>
          <w:szCs w:val="32"/>
        </w:rPr>
      </w:pPr>
    </w:p>
    <w:p w14:paraId="55A19EEB">
      <w:pPr>
        <w:pStyle w:val="2"/>
        <w:keepNext w:val="0"/>
        <w:keepLines w:val="0"/>
        <w:pageBreakBefore w:val="0"/>
        <w:wordWrap/>
        <w:topLinePunct w:val="0"/>
        <w:bidi w:val="0"/>
        <w:spacing w:line="560" w:lineRule="exact"/>
        <w:rPr>
          <w:rFonts w:hint="eastAsia"/>
        </w:rPr>
      </w:pPr>
    </w:p>
    <w:p w14:paraId="0E79483F">
      <w:pPr>
        <w:pStyle w:val="2"/>
        <w:keepNext w:val="0"/>
        <w:keepLines w:val="0"/>
        <w:pageBreakBefore w:val="0"/>
        <w:wordWrap/>
        <w:topLinePunct w:val="0"/>
        <w:bidi w:val="0"/>
        <w:spacing w:line="560" w:lineRule="exact"/>
        <w:ind w:left="0" w:leftChars="0" w:firstLine="0" w:firstLineChars="0"/>
        <w:jc w:val="right"/>
        <w:rPr>
          <w:rFonts w:hint="eastAsia" w:ascii="Times New Roman" w:hAnsi="Times New Roman" w:eastAsia="仿宋_GB2312" w:cs="Times New Roman"/>
          <w:b w:val="0"/>
          <w:bCs w:val="0"/>
          <w:snapToGrid w:val="0"/>
          <w:color w:val="auto"/>
          <w:spacing w:val="0"/>
          <w:kern w:val="0"/>
          <w:sz w:val="32"/>
          <w:szCs w:val="32"/>
          <w:lang w:val="en-US" w:eastAsia="zh-CN"/>
        </w:rPr>
      </w:pPr>
      <w:r>
        <w:rPr>
          <w:rFonts w:hint="eastAsia" w:ascii="Times New Roman" w:hAnsi="Times New Roman" w:eastAsia="仿宋_GB2312" w:cs="Times New Roman"/>
          <w:b w:val="0"/>
          <w:bCs w:val="0"/>
          <w:snapToGrid w:val="0"/>
          <w:color w:val="auto"/>
          <w:spacing w:val="0"/>
          <w:kern w:val="0"/>
          <w:sz w:val="32"/>
          <w:szCs w:val="32"/>
          <w:lang w:val="en-US" w:eastAsia="zh-CN"/>
        </w:rPr>
        <w:t>中共枣庄高新区工作委员会</w:t>
      </w:r>
    </w:p>
    <w:p w14:paraId="7295EA75">
      <w:pPr>
        <w:pStyle w:val="2"/>
        <w:keepNext w:val="0"/>
        <w:keepLines w:val="0"/>
        <w:pageBreakBefore w:val="0"/>
        <w:wordWrap/>
        <w:topLinePunct w:val="0"/>
        <w:bidi w:val="0"/>
        <w:spacing w:line="560" w:lineRule="exact"/>
        <w:ind w:left="0" w:leftChars="0" w:firstLine="0" w:firstLineChars="0"/>
        <w:jc w:val="center"/>
        <w:rPr>
          <w:rFonts w:hint="default" w:ascii="Times New Roman" w:hAnsi="Times New Roman" w:eastAsia="仿宋_GB2312" w:cs="Times New Roman"/>
          <w:b w:val="0"/>
          <w:bCs w:val="0"/>
          <w:snapToGrid w:val="0"/>
          <w:color w:val="auto"/>
          <w:spacing w:val="0"/>
          <w:kern w:val="0"/>
          <w:sz w:val="32"/>
          <w:szCs w:val="32"/>
          <w:lang w:val="en-US" w:eastAsia="zh-CN"/>
        </w:rPr>
      </w:pPr>
      <w:r>
        <w:rPr>
          <w:rFonts w:hint="eastAsia" w:ascii="Times New Roman" w:hAnsi="Times New Roman" w:eastAsia="仿宋_GB2312" w:cs="Times New Roman"/>
          <w:b w:val="0"/>
          <w:bCs w:val="0"/>
          <w:snapToGrid w:val="0"/>
          <w:color w:val="auto"/>
          <w:spacing w:val="0"/>
          <w:kern w:val="0"/>
          <w:sz w:val="32"/>
          <w:szCs w:val="32"/>
          <w:lang w:val="en-US" w:eastAsia="zh-CN"/>
        </w:rPr>
        <w:t xml:space="preserve">                               2025年12月31日</w:t>
      </w:r>
    </w:p>
    <w:sectPr>
      <w:headerReference r:id="rId5" w:type="default"/>
      <w:footerReference r:id="rId6" w:type="default"/>
      <w:pgSz w:w="11900" w:h="16820"/>
      <w:pgMar w:top="1701" w:right="1587" w:bottom="1587" w:left="1587" w:header="850" w:footer="992"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61FE">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87681">
                          <w:pPr>
                            <w:pStyle w:val="3"/>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CD87681">
                    <w:pPr>
                      <w:pStyle w:val="3"/>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AD5A2">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mZjBjY2RjYzgzZTZjZmUwYzBmZWI3ZTJiNjc3YzMifQ=="/>
    <w:docVar w:name="KSO_WPS_MARK_KEY" w:val="9323f100-da96-4fc9-b49a-97c3dcc71913"/>
  </w:docVars>
  <w:rsids>
    <w:rsidRoot w:val="677346BD"/>
    <w:rsid w:val="021A09FD"/>
    <w:rsid w:val="026A368C"/>
    <w:rsid w:val="02D54924"/>
    <w:rsid w:val="074A238C"/>
    <w:rsid w:val="079254DA"/>
    <w:rsid w:val="080D2DB2"/>
    <w:rsid w:val="08145EEF"/>
    <w:rsid w:val="08D6569D"/>
    <w:rsid w:val="09C83435"/>
    <w:rsid w:val="0A8A45FA"/>
    <w:rsid w:val="0B957346"/>
    <w:rsid w:val="0DB8731C"/>
    <w:rsid w:val="0DC0456D"/>
    <w:rsid w:val="0E8E7501"/>
    <w:rsid w:val="0EEF65E2"/>
    <w:rsid w:val="103709CC"/>
    <w:rsid w:val="127759F8"/>
    <w:rsid w:val="12B301F0"/>
    <w:rsid w:val="13B04D40"/>
    <w:rsid w:val="149F4D92"/>
    <w:rsid w:val="16290DB7"/>
    <w:rsid w:val="16A500FB"/>
    <w:rsid w:val="1739714A"/>
    <w:rsid w:val="1BDB6FF7"/>
    <w:rsid w:val="1C6E39C8"/>
    <w:rsid w:val="1CA7512B"/>
    <w:rsid w:val="1F3D3B25"/>
    <w:rsid w:val="22805021"/>
    <w:rsid w:val="24317B2C"/>
    <w:rsid w:val="246456B0"/>
    <w:rsid w:val="25290BDE"/>
    <w:rsid w:val="26215F4F"/>
    <w:rsid w:val="27D66CC5"/>
    <w:rsid w:val="283A32F8"/>
    <w:rsid w:val="29AF3BBB"/>
    <w:rsid w:val="29DB1BF4"/>
    <w:rsid w:val="2A0239A1"/>
    <w:rsid w:val="2A692BC8"/>
    <w:rsid w:val="2C29790B"/>
    <w:rsid w:val="2D0578B1"/>
    <w:rsid w:val="2EC556B7"/>
    <w:rsid w:val="30136908"/>
    <w:rsid w:val="33F20F2A"/>
    <w:rsid w:val="342C61EA"/>
    <w:rsid w:val="352F5465"/>
    <w:rsid w:val="37103BA1"/>
    <w:rsid w:val="37256F21"/>
    <w:rsid w:val="388C7258"/>
    <w:rsid w:val="3BDE0468"/>
    <w:rsid w:val="3C7F0E81"/>
    <w:rsid w:val="3E8135D7"/>
    <w:rsid w:val="409404B4"/>
    <w:rsid w:val="41A43864"/>
    <w:rsid w:val="42D924E6"/>
    <w:rsid w:val="430E2687"/>
    <w:rsid w:val="442C7B41"/>
    <w:rsid w:val="452151CC"/>
    <w:rsid w:val="46401E6A"/>
    <w:rsid w:val="46E91D19"/>
    <w:rsid w:val="475573AE"/>
    <w:rsid w:val="49902920"/>
    <w:rsid w:val="4A3E412A"/>
    <w:rsid w:val="4AD36F68"/>
    <w:rsid w:val="4B7A3887"/>
    <w:rsid w:val="4B985ABC"/>
    <w:rsid w:val="4C0F5D7E"/>
    <w:rsid w:val="4CB174EE"/>
    <w:rsid w:val="50367197"/>
    <w:rsid w:val="51856AE2"/>
    <w:rsid w:val="52552958"/>
    <w:rsid w:val="52AB07CA"/>
    <w:rsid w:val="53CB1124"/>
    <w:rsid w:val="545D5AF4"/>
    <w:rsid w:val="547C2BFD"/>
    <w:rsid w:val="54ED6E78"/>
    <w:rsid w:val="56002783"/>
    <w:rsid w:val="56B13384"/>
    <w:rsid w:val="56E3206A"/>
    <w:rsid w:val="588A2314"/>
    <w:rsid w:val="5A881081"/>
    <w:rsid w:val="5BC62565"/>
    <w:rsid w:val="5C5D30A8"/>
    <w:rsid w:val="5CE46DB3"/>
    <w:rsid w:val="5F0A134F"/>
    <w:rsid w:val="5FE570CA"/>
    <w:rsid w:val="600C0AFA"/>
    <w:rsid w:val="61045C75"/>
    <w:rsid w:val="614E0C9F"/>
    <w:rsid w:val="6170330B"/>
    <w:rsid w:val="617D0302"/>
    <w:rsid w:val="62FB09B2"/>
    <w:rsid w:val="665C3E5E"/>
    <w:rsid w:val="66807B4C"/>
    <w:rsid w:val="677346BD"/>
    <w:rsid w:val="68617509"/>
    <w:rsid w:val="687F5BE1"/>
    <w:rsid w:val="68ED5C83"/>
    <w:rsid w:val="6A7C4ACE"/>
    <w:rsid w:val="6DB85E1E"/>
    <w:rsid w:val="6DE05374"/>
    <w:rsid w:val="6E6733A0"/>
    <w:rsid w:val="70DD3DED"/>
    <w:rsid w:val="71C034F3"/>
    <w:rsid w:val="72EF7E8C"/>
    <w:rsid w:val="731955B0"/>
    <w:rsid w:val="737C5B3F"/>
    <w:rsid w:val="73D217C3"/>
    <w:rsid w:val="74367B7D"/>
    <w:rsid w:val="74424693"/>
    <w:rsid w:val="744C3764"/>
    <w:rsid w:val="75B3473A"/>
    <w:rsid w:val="75F669BB"/>
    <w:rsid w:val="79030169"/>
    <w:rsid w:val="7A377CD5"/>
    <w:rsid w:val="7A3E3B4E"/>
    <w:rsid w:val="7B9C47BA"/>
    <w:rsid w:val="7C38637B"/>
    <w:rsid w:val="7E097FCF"/>
    <w:rsid w:val="7EA122E9"/>
    <w:rsid w:val="7F6E0A32"/>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620" w:lineRule="exact"/>
      <w:ind w:firstLine="723" w:firstLineChars="200"/>
    </w:pPr>
    <w:rPr>
      <w:rFonts w:ascii="黑体" w:eastAsia="黑体"/>
      <w:b/>
      <w:bCs/>
      <w:sz w:val="36"/>
    </w:rPr>
  </w:style>
  <w:style w:type="paragraph" w:styleId="3">
    <w:name w:val="footer"/>
    <w:basedOn w:val="1"/>
    <w:autoRedefine/>
    <w:qFormat/>
    <w:uiPriority w:val="0"/>
    <w:pPr>
      <w:tabs>
        <w:tab w:val="center" w:pos="4153"/>
        <w:tab w:val="right" w:pos="8306"/>
      </w:tabs>
      <w:snapToGrid w:val="0"/>
      <w:jc w:val="left"/>
    </w:pPr>
    <w:rPr>
      <w:sz w:val="18"/>
    </w:rPr>
  </w:style>
  <w:style w:type="paragraph" w:customStyle="1" w:styleId="6">
    <w:name w:val="Body Text First Indent 21"/>
    <w:basedOn w:val="7"/>
    <w:autoRedefine/>
    <w:qFormat/>
    <w:uiPriority w:val="0"/>
    <w:pPr>
      <w:ind w:firstLine="420"/>
    </w:pPr>
  </w:style>
  <w:style w:type="paragraph" w:customStyle="1" w:styleId="7">
    <w:name w:val="Body Text Indent1"/>
    <w:basedOn w:val="1"/>
    <w:autoRedefine/>
    <w:qFormat/>
    <w:uiPriority w:val="0"/>
    <w:pPr>
      <w:ind w:left="420" w:leftChars="200"/>
    </w:pPr>
    <w:rPr>
      <w:rFonts w:ascii="Times New Roman" w:hAnsi="Times New Roman"/>
    </w:rPr>
  </w:style>
  <w:style w:type="paragraph" w:customStyle="1" w:styleId="8">
    <w:name w:val="Normal (Web)"/>
    <w:basedOn w:val="1"/>
    <w:autoRedefine/>
    <w:qFormat/>
    <w:uiPriority w:val="0"/>
    <w:pPr>
      <w:spacing w:before="100" w:beforeLines="0" w:beforeAutospacing="1" w:after="100" w:afterLines="0"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1984</Words>
  <Characters>2048</Characters>
  <Lines>0</Lines>
  <Paragraphs>0</Paragraphs>
  <TotalTime>217</TotalTime>
  <ScaleCrop>false</ScaleCrop>
  <LinksUpToDate>false</LinksUpToDate>
  <CharactersWithSpaces>2082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2023-02-16T02:11:00Z</dcterms:created>
  <dc:creator>   踏雪掬梅</dc:creator>
  <cp:lastModifiedBy>SusieGao</cp:lastModifiedBy>
  <cp:lastPrinted>2025-12-31T02:42:00Z</cp:lastPrinted>
  <dcterms:modified xsi:type="dcterms:W3CDTF">2026-01-04T08:13:44Z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E2231187BEF24727A4D2C6F0530DCD5E</vt:lpwstr>
  </property>
  <property fmtid="{D5CDD505-2E9C-101B-9397-08002B2CF9AE}" pid="4" name="KSOTemplateDocerSaveRecord">
    <vt:lpwstr>eyJoZGlkIjoiZTczYmI3NGI3MTVjNTY4ZDEzNDg2MGQzNzU4OTA4YTYiLCJ1c2VySWQiOiIxOTM1OTU0NzIifQ==</vt:lpwstr>
  </property>
</Properties>
</file>